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21D" w:rsidRDefault="0016321D" w:rsidP="0016321D">
      <w:pPr>
        <w:pStyle w:val="Heading1"/>
        <w:pBdr>
          <w:bottom w:val="single" w:sz="4" w:space="1" w:color="auto"/>
        </w:pBdr>
        <w:spacing w:line="240" w:lineRule="auto"/>
        <w:jc w:val="center"/>
      </w:pPr>
      <w:r>
        <w:rPr>
          <w:noProof/>
          <w:lang w:eastAsia="en-GB"/>
        </w:rPr>
        <w:drawing>
          <wp:anchor distT="0" distB="0" distL="114300" distR="114300" simplePos="0" relativeHeight="251661312" behindDoc="0" locked="0" layoutInCell="1" allowOverlap="1" wp14:anchorId="4944711F" wp14:editId="78B78750">
            <wp:simplePos x="0" y="0"/>
            <wp:positionH relativeFrom="column">
              <wp:posOffset>-88900</wp:posOffset>
            </wp:positionH>
            <wp:positionV relativeFrom="paragraph">
              <wp:posOffset>-364145</wp:posOffset>
            </wp:positionV>
            <wp:extent cx="2739992" cy="512064"/>
            <wp:effectExtent l="0" t="0" r="381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9992" cy="5120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68AE" w:rsidRDefault="008D68AE" w:rsidP="0016321D">
      <w:pPr>
        <w:pStyle w:val="Heading1"/>
        <w:pBdr>
          <w:bottom w:val="single" w:sz="4" w:space="1" w:color="auto"/>
        </w:pBdr>
        <w:spacing w:line="240" w:lineRule="auto"/>
        <w:jc w:val="center"/>
      </w:pPr>
    </w:p>
    <w:p w:rsidR="008D68AE" w:rsidRPr="0016321D" w:rsidRDefault="008D68AE" w:rsidP="0016321D">
      <w:pPr>
        <w:pStyle w:val="Heading1"/>
        <w:pBdr>
          <w:bottom w:val="single" w:sz="4" w:space="1" w:color="auto"/>
        </w:pBdr>
        <w:spacing w:line="240" w:lineRule="auto"/>
        <w:jc w:val="center"/>
        <w:rPr>
          <w:rFonts w:asciiTheme="minorHAnsi" w:hAnsiTheme="minorHAnsi" w:cstheme="minorHAnsi"/>
          <w:b/>
        </w:rPr>
      </w:pPr>
      <w:r w:rsidRPr="0016321D">
        <w:rPr>
          <w:rFonts w:asciiTheme="minorHAnsi" w:hAnsiTheme="minorHAnsi" w:cstheme="minorHAnsi"/>
        </w:rPr>
        <w:t>Terms of Reference</w:t>
      </w:r>
    </w:p>
    <w:p w:rsidR="008D68AE" w:rsidRPr="0016321D" w:rsidRDefault="003D3772" w:rsidP="0016321D">
      <w:pPr>
        <w:pStyle w:val="Heading2"/>
        <w:spacing w:line="240" w:lineRule="auto"/>
        <w:jc w:val="center"/>
        <w:rPr>
          <w:rFonts w:asciiTheme="minorHAnsi" w:hAnsiTheme="minorHAnsi" w:cstheme="minorHAnsi"/>
        </w:rPr>
      </w:pPr>
      <w:r w:rsidRPr="0016321D">
        <w:rPr>
          <w:rFonts w:asciiTheme="minorHAnsi" w:hAnsiTheme="minorHAnsi" w:cstheme="minorHAnsi"/>
        </w:rPr>
        <w:t>Individual Consultancy</w:t>
      </w:r>
      <w:r w:rsidR="00EA5834" w:rsidRPr="0016321D">
        <w:rPr>
          <w:rFonts w:asciiTheme="minorHAnsi" w:hAnsiTheme="minorHAnsi" w:cstheme="minorHAnsi"/>
        </w:rPr>
        <w:t xml:space="preserve"> (Sudanese Nationals Only)</w:t>
      </w:r>
      <w:r w:rsidR="008D68AE" w:rsidRPr="0016321D">
        <w:rPr>
          <w:rFonts w:asciiTheme="minorHAnsi" w:hAnsiTheme="minorHAnsi" w:cstheme="minorHAnsi"/>
        </w:rPr>
        <w:t xml:space="preserve"> for </w:t>
      </w:r>
      <w:r w:rsidR="0016321D" w:rsidRPr="0016321D">
        <w:rPr>
          <w:rFonts w:asciiTheme="minorHAnsi" w:hAnsiTheme="minorHAnsi" w:cstheme="minorHAnsi"/>
        </w:rPr>
        <w:t>the Provision of Translation Services in Relation to Archived Programme Documents</w:t>
      </w:r>
    </w:p>
    <w:p w:rsidR="008D68AE" w:rsidRPr="0016321D" w:rsidRDefault="008D68AE" w:rsidP="0016321D">
      <w:pPr>
        <w:pStyle w:val="Heading2"/>
        <w:spacing w:before="0" w:line="240" w:lineRule="auto"/>
        <w:rPr>
          <w:rFonts w:asciiTheme="minorHAnsi" w:hAnsiTheme="minorHAnsi" w:cstheme="minorHAnsi"/>
        </w:rPr>
      </w:pPr>
    </w:p>
    <w:p w:rsidR="00457FA5" w:rsidRPr="0016321D" w:rsidRDefault="00457FA5" w:rsidP="0016321D">
      <w:pPr>
        <w:spacing w:after="0" w:line="240" w:lineRule="auto"/>
        <w:rPr>
          <w:rFonts w:cstheme="minorHAnsi"/>
        </w:rPr>
      </w:pPr>
    </w:p>
    <w:p w:rsidR="00457FA5" w:rsidRPr="0016321D" w:rsidRDefault="00457FA5" w:rsidP="0016321D">
      <w:pPr>
        <w:spacing w:after="0" w:line="240" w:lineRule="auto"/>
        <w:rPr>
          <w:rFonts w:cstheme="minorHAnsi"/>
        </w:rPr>
      </w:pPr>
      <w:r w:rsidRPr="0016321D">
        <w:rPr>
          <w:rFonts w:cstheme="minorHAnsi"/>
          <w:b/>
        </w:rPr>
        <w:t>Start Date:</w:t>
      </w:r>
      <w:r w:rsidRPr="0016321D">
        <w:rPr>
          <w:rFonts w:cstheme="minorHAnsi"/>
        </w:rPr>
        <w:t xml:space="preserve"> </w:t>
      </w:r>
      <w:r w:rsidR="0016321D" w:rsidRPr="0016321D">
        <w:rPr>
          <w:rFonts w:cstheme="minorHAnsi"/>
        </w:rPr>
        <w:t>10.11</w:t>
      </w:r>
      <w:r w:rsidRPr="0016321D">
        <w:rPr>
          <w:rFonts w:cstheme="minorHAnsi"/>
        </w:rPr>
        <w:t xml:space="preserve">.2021 </w:t>
      </w:r>
    </w:p>
    <w:p w:rsidR="00921233" w:rsidRPr="0016321D" w:rsidRDefault="00457FA5" w:rsidP="0016321D">
      <w:pPr>
        <w:spacing w:after="0" w:line="240" w:lineRule="auto"/>
        <w:rPr>
          <w:rFonts w:cstheme="minorHAnsi"/>
        </w:rPr>
      </w:pPr>
      <w:r w:rsidRPr="0016321D">
        <w:rPr>
          <w:rFonts w:cstheme="minorHAnsi"/>
          <w:b/>
        </w:rPr>
        <w:t>End Date:</w:t>
      </w:r>
      <w:r w:rsidRPr="0016321D">
        <w:rPr>
          <w:rFonts w:cstheme="minorHAnsi"/>
        </w:rPr>
        <w:t xml:space="preserve"> 30.06.202</w:t>
      </w:r>
      <w:r w:rsidR="0016321D" w:rsidRPr="0016321D">
        <w:rPr>
          <w:rFonts w:cstheme="minorHAnsi"/>
        </w:rPr>
        <w:t>3</w:t>
      </w:r>
    </w:p>
    <w:p w:rsidR="0016321D" w:rsidRPr="0016321D" w:rsidRDefault="0016321D" w:rsidP="0016321D">
      <w:pPr>
        <w:spacing w:after="0" w:line="240" w:lineRule="auto"/>
        <w:rPr>
          <w:rFonts w:cstheme="minorHAnsi"/>
        </w:rPr>
      </w:pPr>
    </w:p>
    <w:p w:rsidR="0016321D" w:rsidRPr="0016321D" w:rsidRDefault="0016321D" w:rsidP="0016321D">
      <w:pPr>
        <w:spacing w:after="0" w:line="240" w:lineRule="auto"/>
        <w:rPr>
          <w:rFonts w:cstheme="minorHAnsi"/>
        </w:rPr>
      </w:pPr>
    </w:p>
    <w:p w:rsidR="0016321D" w:rsidRPr="0016321D" w:rsidRDefault="0016321D" w:rsidP="0016321D">
      <w:pPr>
        <w:pStyle w:val="Heading2"/>
        <w:spacing w:before="0" w:line="240" w:lineRule="auto"/>
        <w:rPr>
          <w:rFonts w:asciiTheme="minorHAnsi" w:hAnsiTheme="minorHAnsi" w:cstheme="minorHAnsi"/>
          <w:sz w:val="22"/>
          <w:szCs w:val="22"/>
        </w:rPr>
      </w:pPr>
      <w:r w:rsidRPr="0016321D">
        <w:rPr>
          <w:rFonts w:asciiTheme="minorHAnsi" w:hAnsiTheme="minorHAnsi" w:cstheme="minorHAnsi"/>
          <w:sz w:val="22"/>
          <w:szCs w:val="22"/>
        </w:rPr>
        <w:t>PROSPECTS Partnership</w:t>
      </w:r>
    </w:p>
    <w:p w:rsidR="0016321D" w:rsidRPr="0016321D" w:rsidRDefault="0016321D" w:rsidP="00B835AC">
      <w:pPr>
        <w:pBdr>
          <w:top w:val="nil"/>
          <w:left w:val="nil"/>
          <w:bottom w:val="nil"/>
          <w:right w:val="nil"/>
          <w:between w:val="nil"/>
          <w:bar w:val="nil"/>
        </w:pBdr>
        <w:tabs>
          <w:tab w:val="left" w:pos="720"/>
          <w:tab w:val="left" w:pos="1260"/>
        </w:tabs>
        <w:spacing w:after="0" w:line="240" w:lineRule="auto"/>
        <w:jc w:val="both"/>
        <w:rPr>
          <w:rFonts w:cstheme="minorHAnsi"/>
          <w:bCs/>
        </w:rPr>
      </w:pPr>
      <w:r w:rsidRPr="0016321D">
        <w:rPr>
          <w:rFonts w:cstheme="minorHAnsi"/>
          <w:bCs/>
        </w:rPr>
        <w:t>Under “</w:t>
      </w:r>
      <w:r w:rsidRPr="0016321D">
        <w:rPr>
          <w:rFonts w:cstheme="minorHAnsi"/>
        </w:rPr>
        <w:t>Partnership for Improving Prospects for Forcibly Displaced Persons and Host Communities” (PROSPECTS) project supported by the Government of the Netherlands, the ILO also partners with UNICEF, UNHCR</w:t>
      </w:r>
      <w:r w:rsidRPr="0016321D">
        <w:rPr>
          <w:rFonts w:cstheme="minorHAnsi"/>
          <w:bCs/>
        </w:rPr>
        <w:t xml:space="preserve">, WB and IFC to develop a joint and fully integrated approach to respond to the forced displacement situation. In Sudan, the Partnership, focuses on delivering change within the South Sudanese refugee and host community populations in East Darfur, specifically Assalayaa settlement and El Nimir camp and West Kordofan, specifically along the Keilak-Kharasana corridor and in the remote El Meiram settlements. </w:t>
      </w:r>
    </w:p>
    <w:p w:rsidR="0016321D" w:rsidRPr="0016321D" w:rsidRDefault="0016321D" w:rsidP="00B835AC">
      <w:pPr>
        <w:spacing w:after="0" w:line="240" w:lineRule="auto"/>
        <w:jc w:val="both"/>
        <w:rPr>
          <w:rFonts w:cstheme="minorHAnsi"/>
        </w:rPr>
      </w:pPr>
    </w:p>
    <w:p w:rsidR="0016321D" w:rsidRPr="0016321D" w:rsidRDefault="0016321D" w:rsidP="00B835AC">
      <w:pPr>
        <w:spacing w:after="0" w:line="240" w:lineRule="auto"/>
        <w:jc w:val="both"/>
        <w:rPr>
          <w:rFonts w:cstheme="minorHAnsi"/>
        </w:rPr>
      </w:pPr>
    </w:p>
    <w:p w:rsidR="0016321D" w:rsidRPr="0016321D" w:rsidRDefault="0016321D" w:rsidP="00B835AC">
      <w:pPr>
        <w:pStyle w:val="Heading2"/>
        <w:keepNext w:val="0"/>
        <w:keepLines w:val="0"/>
        <w:widowControl w:val="0"/>
        <w:numPr>
          <w:ilvl w:val="0"/>
          <w:numId w:val="27"/>
        </w:numPr>
        <w:tabs>
          <w:tab w:val="left" w:pos="284"/>
        </w:tabs>
        <w:autoSpaceDE w:val="0"/>
        <w:autoSpaceDN w:val="0"/>
        <w:spacing w:before="0" w:line="240" w:lineRule="auto"/>
        <w:ind w:left="0" w:firstLine="0"/>
        <w:jc w:val="both"/>
        <w:rPr>
          <w:rFonts w:asciiTheme="minorHAnsi" w:hAnsiTheme="minorHAnsi" w:cstheme="minorHAnsi"/>
          <w:w w:val="95"/>
          <w:sz w:val="22"/>
          <w:szCs w:val="22"/>
        </w:rPr>
      </w:pPr>
      <w:bookmarkStart w:id="0" w:name="A._GENERAL_BACKGROUND_INFORMATION"/>
      <w:bookmarkEnd w:id="0"/>
      <w:r w:rsidRPr="0016321D">
        <w:rPr>
          <w:rFonts w:asciiTheme="minorHAnsi" w:hAnsiTheme="minorHAnsi" w:cstheme="minorHAnsi"/>
          <w:w w:val="95"/>
          <w:sz w:val="22"/>
          <w:szCs w:val="22"/>
        </w:rPr>
        <w:t>GENERAL BACKGROUND INFORMATION</w:t>
      </w:r>
    </w:p>
    <w:p w:rsidR="0016321D" w:rsidRPr="0016321D" w:rsidRDefault="0016321D" w:rsidP="00B835AC">
      <w:pPr>
        <w:pStyle w:val="BodyText"/>
        <w:tabs>
          <w:tab w:val="left" w:pos="0"/>
        </w:tabs>
        <w:jc w:val="both"/>
        <w:rPr>
          <w:rFonts w:asciiTheme="minorHAnsi" w:hAnsiTheme="minorHAnsi" w:cstheme="minorHAnsi"/>
          <w:color w:val="000000"/>
          <w:shd w:val="clear" w:color="auto" w:fill="FFFFFF"/>
        </w:rPr>
      </w:pPr>
      <w:r w:rsidRPr="0016321D">
        <w:rPr>
          <w:rFonts w:asciiTheme="minorHAnsi" w:hAnsiTheme="minorHAnsi" w:cstheme="minorHAnsi"/>
          <w:color w:val="000000"/>
          <w:shd w:val="clear" w:color="auto" w:fill="FFFFFF"/>
        </w:rPr>
        <w:t>While the political context in Sudan witnessed a historic shift in 2019, the humanitarian, development and economic situations have been subject to a continuous and significant decline. Due to more than a decade of economic sanctions and decades of violent conflict, especially in Darfur and Kordofan states, support from financial institutions and development funding is limited. To address these pressing issues the ILO and its partners have received funding from the Government of the Netherlands to implement a new Partnership agreement that will help move humanitarian support towards more sustainable development assistance.</w:t>
      </w:r>
    </w:p>
    <w:p w:rsidR="0016321D" w:rsidRPr="0016321D" w:rsidRDefault="0016321D" w:rsidP="00B835AC">
      <w:pPr>
        <w:pStyle w:val="BodyText"/>
        <w:tabs>
          <w:tab w:val="left" w:pos="0"/>
        </w:tabs>
        <w:jc w:val="both"/>
        <w:rPr>
          <w:rFonts w:asciiTheme="minorHAnsi" w:hAnsiTheme="minorHAnsi" w:cstheme="minorHAnsi"/>
          <w:color w:val="000000"/>
          <w:shd w:val="clear" w:color="auto" w:fill="FFFFFF"/>
        </w:rPr>
      </w:pPr>
    </w:p>
    <w:p w:rsidR="0016321D" w:rsidRPr="0016321D" w:rsidRDefault="0016321D" w:rsidP="00B835AC">
      <w:pPr>
        <w:pStyle w:val="BodyText"/>
        <w:tabs>
          <w:tab w:val="left" w:pos="0"/>
        </w:tabs>
        <w:jc w:val="both"/>
        <w:rPr>
          <w:rFonts w:asciiTheme="minorHAnsi" w:hAnsiTheme="minorHAnsi" w:cstheme="minorHAnsi"/>
          <w:color w:val="000000"/>
        </w:rPr>
      </w:pPr>
      <w:r w:rsidRPr="0016321D">
        <w:rPr>
          <w:rFonts w:asciiTheme="minorHAnsi" w:hAnsiTheme="minorHAnsi" w:cstheme="minorHAnsi"/>
          <w:color w:val="000000"/>
          <w:shd w:val="clear" w:color="auto" w:fill="FFFFFF"/>
        </w:rPr>
        <w:t xml:space="preserve">Under the PROSPECTS Partnership, the ILO will be working with our national counterparts, sister agencies, and other stakeholders to strengthen access to local labour markets for the forcibly displaced, IDPs, host communities that are productive, deliver a fair income, provide security in the workplace, and social protection for families. </w:t>
      </w:r>
      <w:r w:rsidRPr="0016321D">
        <w:rPr>
          <w:rFonts w:asciiTheme="minorHAnsi" w:hAnsiTheme="minorHAnsi" w:cstheme="minorHAnsi"/>
          <w:color w:val="000000"/>
        </w:rPr>
        <w:t xml:space="preserve">This Partnership will be grounded in results-based and country-led approaches. It aims to develop and implement evidence-based solutions, tailored to each context, as well as to test and learn from innovative operational solutions. </w:t>
      </w:r>
    </w:p>
    <w:p w:rsidR="0016321D" w:rsidRPr="0016321D" w:rsidRDefault="0016321D" w:rsidP="00B835AC">
      <w:pPr>
        <w:pStyle w:val="BodyText"/>
        <w:tabs>
          <w:tab w:val="left" w:pos="0"/>
        </w:tabs>
        <w:jc w:val="both"/>
        <w:rPr>
          <w:rFonts w:asciiTheme="minorHAnsi" w:hAnsiTheme="minorHAnsi" w:cstheme="minorHAnsi"/>
          <w:color w:val="000000"/>
        </w:rPr>
      </w:pPr>
    </w:p>
    <w:p w:rsidR="0016321D" w:rsidRPr="0016321D" w:rsidRDefault="0016321D" w:rsidP="00B835AC">
      <w:pPr>
        <w:pStyle w:val="BodyText"/>
        <w:tabs>
          <w:tab w:val="left" w:pos="0"/>
        </w:tabs>
        <w:jc w:val="both"/>
        <w:rPr>
          <w:rFonts w:asciiTheme="minorHAnsi" w:hAnsiTheme="minorHAnsi" w:cstheme="minorHAnsi"/>
          <w:color w:val="4B4B4B"/>
          <w:shd w:val="clear" w:color="auto" w:fill="FFFFFF"/>
        </w:rPr>
      </w:pPr>
      <w:r w:rsidRPr="0016321D">
        <w:rPr>
          <w:rFonts w:asciiTheme="minorHAnsi" w:hAnsiTheme="minorHAnsi" w:cstheme="minorHAnsi"/>
          <w:color w:val="000000"/>
        </w:rPr>
        <w:t>To do this, the Partnership has been gathering and archiving critical planning documents, maps, graphs, tabular reports, and other Arabic-based resources. These archived planning documents represent a diverse profile of technical, policy, strategic, and financial documents that will need to be translated on an as-required basis. Translation from Arabic to English is critical for the effective design, development, and implementation of locally relevant technical assistance interventions. Translation will also help to expand common understandings and communication with stakeholders.</w:t>
      </w:r>
    </w:p>
    <w:p w:rsidR="0016321D" w:rsidRPr="0016321D" w:rsidRDefault="0016321D" w:rsidP="00B835AC">
      <w:pPr>
        <w:pStyle w:val="BodyText"/>
        <w:tabs>
          <w:tab w:val="left" w:pos="0"/>
        </w:tabs>
        <w:jc w:val="both"/>
        <w:rPr>
          <w:rFonts w:asciiTheme="minorHAnsi" w:hAnsiTheme="minorHAnsi" w:cstheme="minorHAnsi"/>
          <w:color w:val="4B4B4B"/>
          <w:shd w:val="clear" w:color="auto" w:fill="FFFFFF"/>
        </w:rPr>
      </w:pPr>
    </w:p>
    <w:p w:rsidR="0016321D" w:rsidRPr="0016321D" w:rsidRDefault="0016321D" w:rsidP="00B835AC">
      <w:pPr>
        <w:pStyle w:val="BodyText"/>
        <w:tabs>
          <w:tab w:val="left" w:pos="0"/>
        </w:tabs>
        <w:jc w:val="both"/>
        <w:rPr>
          <w:rFonts w:asciiTheme="minorHAnsi" w:hAnsiTheme="minorHAnsi" w:cstheme="minorHAnsi"/>
        </w:rPr>
      </w:pPr>
    </w:p>
    <w:p w:rsidR="0016321D" w:rsidRPr="0016321D" w:rsidRDefault="0016321D" w:rsidP="00B835AC">
      <w:pPr>
        <w:pStyle w:val="Heading2"/>
        <w:keepNext w:val="0"/>
        <w:keepLines w:val="0"/>
        <w:widowControl w:val="0"/>
        <w:numPr>
          <w:ilvl w:val="0"/>
          <w:numId w:val="27"/>
        </w:numPr>
        <w:tabs>
          <w:tab w:val="left" w:pos="0"/>
          <w:tab w:val="left" w:pos="580"/>
        </w:tabs>
        <w:autoSpaceDE w:val="0"/>
        <w:autoSpaceDN w:val="0"/>
        <w:spacing w:before="0" w:line="240" w:lineRule="auto"/>
        <w:ind w:left="0" w:firstLine="0"/>
        <w:jc w:val="both"/>
        <w:rPr>
          <w:rFonts w:asciiTheme="minorHAnsi" w:hAnsiTheme="minorHAnsi" w:cstheme="minorHAnsi"/>
          <w:sz w:val="22"/>
          <w:szCs w:val="22"/>
        </w:rPr>
      </w:pPr>
      <w:bookmarkStart w:id="1" w:name="B._THE_SCOPE_OF_THE_PROPOSED_CONTRACTED_"/>
      <w:bookmarkEnd w:id="1"/>
      <w:r w:rsidRPr="0016321D">
        <w:rPr>
          <w:rFonts w:asciiTheme="minorHAnsi" w:hAnsiTheme="minorHAnsi" w:cstheme="minorHAnsi"/>
          <w:w w:val="90"/>
          <w:sz w:val="22"/>
          <w:szCs w:val="22"/>
        </w:rPr>
        <w:t>THE</w:t>
      </w:r>
      <w:r w:rsidRPr="0016321D">
        <w:rPr>
          <w:rFonts w:asciiTheme="minorHAnsi" w:hAnsiTheme="minorHAnsi" w:cstheme="minorHAnsi"/>
          <w:spacing w:val="-21"/>
          <w:w w:val="90"/>
          <w:sz w:val="22"/>
          <w:szCs w:val="22"/>
        </w:rPr>
        <w:t xml:space="preserve"> </w:t>
      </w:r>
      <w:r w:rsidRPr="0016321D">
        <w:rPr>
          <w:rFonts w:asciiTheme="minorHAnsi" w:hAnsiTheme="minorHAnsi" w:cstheme="minorHAnsi"/>
          <w:w w:val="90"/>
          <w:sz w:val="22"/>
          <w:szCs w:val="22"/>
        </w:rPr>
        <w:t>SCOPE</w:t>
      </w:r>
      <w:r w:rsidRPr="0016321D">
        <w:rPr>
          <w:rFonts w:asciiTheme="minorHAnsi" w:hAnsiTheme="minorHAnsi" w:cstheme="minorHAnsi"/>
          <w:spacing w:val="-21"/>
          <w:w w:val="90"/>
          <w:sz w:val="22"/>
          <w:szCs w:val="22"/>
        </w:rPr>
        <w:t xml:space="preserve"> </w:t>
      </w:r>
      <w:r w:rsidRPr="0016321D">
        <w:rPr>
          <w:rFonts w:asciiTheme="minorHAnsi" w:hAnsiTheme="minorHAnsi" w:cstheme="minorHAnsi"/>
          <w:w w:val="90"/>
          <w:sz w:val="22"/>
          <w:szCs w:val="22"/>
        </w:rPr>
        <w:t>OF</w:t>
      </w:r>
      <w:r w:rsidRPr="0016321D">
        <w:rPr>
          <w:rFonts w:asciiTheme="minorHAnsi" w:hAnsiTheme="minorHAnsi" w:cstheme="minorHAnsi"/>
          <w:spacing w:val="-21"/>
          <w:w w:val="90"/>
          <w:sz w:val="22"/>
          <w:szCs w:val="22"/>
        </w:rPr>
        <w:t xml:space="preserve"> </w:t>
      </w:r>
      <w:r w:rsidRPr="0016321D">
        <w:rPr>
          <w:rFonts w:asciiTheme="minorHAnsi" w:hAnsiTheme="minorHAnsi" w:cstheme="minorHAnsi"/>
          <w:w w:val="90"/>
          <w:sz w:val="22"/>
          <w:szCs w:val="22"/>
        </w:rPr>
        <w:t>THE</w:t>
      </w:r>
      <w:r w:rsidRPr="0016321D">
        <w:rPr>
          <w:rFonts w:asciiTheme="minorHAnsi" w:hAnsiTheme="minorHAnsi" w:cstheme="minorHAnsi"/>
          <w:spacing w:val="-20"/>
          <w:w w:val="90"/>
          <w:sz w:val="22"/>
          <w:szCs w:val="22"/>
        </w:rPr>
        <w:t xml:space="preserve"> </w:t>
      </w:r>
      <w:r w:rsidRPr="0016321D">
        <w:rPr>
          <w:rFonts w:asciiTheme="minorHAnsi" w:hAnsiTheme="minorHAnsi" w:cstheme="minorHAnsi"/>
          <w:w w:val="90"/>
          <w:sz w:val="22"/>
          <w:szCs w:val="22"/>
        </w:rPr>
        <w:t>PROPOSED</w:t>
      </w:r>
      <w:r w:rsidRPr="0016321D">
        <w:rPr>
          <w:rFonts w:asciiTheme="minorHAnsi" w:hAnsiTheme="minorHAnsi" w:cstheme="minorHAnsi"/>
          <w:spacing w:val="-21"/>
          <w:w w:val="90"/>
          <w:sz w:val="22"/>
          <w:szCs w:val="22"/>
        </w:rPr>
        <w:t xml:space="preserve"> </w:t>
      </w:r>
      <w:r w:rsidRPr="0016321D">
        <w:rPr>
          <w:rFonts w:asciiTheme="minorHAnsi" w:hAnsiTheme="minorHAnsi" w:cstheme="minorHAnsi"/>
          <w:w w:val="90"/>
          <w:sz w:val="22"/>
          <w:szCs w:val="22"/>
        </w:rPr>
        <w:t>CONTRACTED</w:t>
      </w:r>
      <w:r w:rsidRPr="0016321D">
        <w:rPr>
          <w:rFonts w:asciiTheme="minorHAnsi" w:hAnsiTheme="minorHAnsi" w:cstheme="minorHAnsi"/>
          <w:spacing w:val="-21"/>
          <w:w w:val="90"/>
          <w:sz w:val="22"/>
          <w:szCs w:val="22"/>
        </w:rPr>
        <w:t xml:space="preserve"> </w:t>
      </w:r>
      <w:r w:rsidRPr="0016321D">
        <w:rPr>
          <w:rFonts w:asciiTheme="minorHAnsi" w:hAnsiTheme="minorHAnsi" w:cstheme="minorHAnsi"/>
          <w:w w:val="90"/>
          <w:sz w:val="22"/>
          <w:szCs w:val="22"/>
        </w:rPr>
        <w:t>SERVICES</w:t>
      </w:r>
    </w:p>
    <w:p w:rsidR="0016321D" w:rsidRPr="0016321D" w:rsidRDefault="0016321D" w:rsidP="00B835AC">
      <w:pPr>
        <w:pStyle w:val="BodyText"/>
        <w:tabs>
          <w:tab w:val="left" w:pos="0"/>
        </w:tabs>
        <w:jc w:val="both"/>
        <w:rPr>
          <w:rFonts w:asciiTheme="minorHAnsi" w:hAnsiTheme="minorHAnsi" w:cstheme="minorHAnsi"/>
        </w:rPr>
      </w:pPr>
      <w:r w:rsidRPr="0016321D">
        <w:rPr>
          <w:rFonts w:asciiTheme="minorHAnsi" w:hAnsiTheme="minorHAnsi" w:cstheme="minorHAnsi"/>
        </w:rPr>
        <w:t xml:space="preserve">The scope of the proposed contracted activities is to provide translation services for government and project prepared documents from Arabic to English and where required from English to Arabic. It is estimated that the total word count of the current portfolio of Arabic documents for East Darfur and West Kordofan is approximately 50,000 words. </w:t>
      </w:r>
    </w:p>
    <w:p w:rsidR="0016321D" w:rsidRDefault="0016321D" w:rsidP="00B835AC">
      <w:pPr>
        <w:pStyle w:val="BodyText"/>
        <w:tabs>
          <w:tab w:val="left" w:pos="0"/>
        </w:tabs>
        <w:jc w:val="both"/>
        <w:rPr>
          <w:rFonts w:asciiTheme="minorHAnsi" w:hAnsiTheme="minorHAnsi" w:cstheme="minorHAnsi"/>
        </w:rPr>
      </w:pPr>
    </w:p>
    <w:p w:rsidR="0016321D" w:rsidRPr="0016321D" w:rsidRDefault="0016321D" w:rsidP="00B835AC">
      <w:pPr>
        <w:pStyle w:val="BodyText"/>
        <w:tabs>
          <w:tab w:val="left" w:pos="0"/>
        </w:tabs>
        <w:jc w:val="both"/>
        <w:rPr>
          <w:rFonts w:asciiTheme="minorHAnsi" w:hAnsiTheme="minorHAnsi" w:cstheme="minorHAnsi"/>
        </w:rPr>
      </w:pPr>
    </w:p>
    <w:p w:rsidR="0016321D" w:rsidRPr="0016321D" w:rsidRDefault="0016321D" w:rsidP="00B835AC">
      <w:pPr>
        <w:pStyle w:val="BodyText"/>
        <w:tabs>
          <w:tab w:val="left" w:pos="0"/>
        </w:tabs>
        <w:jc w:val="both"/>
        <w:rPr>
          <w:rFonts w:asciiTheme="minorHAnsi" w:hAnsiTheme="minorHAnsi" w:cstheme="minorHAnsi"/>
        </w:rPr>
      </w:pPr>
      <w:r w:rsidRPr="0016321D">
        <w:rPr>
          <w:rFonts w:asciiTheme="minorHAnsi" w:hAnsiTheme="minorHAnsi" w:cstheme="minorHAnsi"/>
        </w:rPr>
        <w:lastRenderedPageBreak/>
        <w:t>In order to ensure we prioritize translation of key documents, be able to respond to immediate translation service requests, and to potentially use these word counts in the preparation of advocacy materials it is proposed that a lump sum commitment to 50,000 words is leveraged as required in the field. PROSPECTS managers could then allocate documents to translate more effectively and with greater certainty and continuity of work with the subject matter expert.</w:t>
      </w:r>
    </w:p>
    <w:p w:rsidR="0016321D" w:rsidRPr="0016321D" w:rsidRDefault="0016321D" w:rsidP="00B835AC">
      <w:pPr>
        <w:pStyle w:val="BodyText"/>
        <w:tabs>
          <w:tab w:val="left" w:pos="0"/>
        </w:tabs>
        <w:jc w:val="both"/>
        <w:rPr>
          <w:rFonts w:asciiTheme="minorHAnsi" w:hAnsiTheme="minorHAnsi" w:cstheme="minorHAnsi"/>
        </w:rPr>
      </w:pPr>
    </w:p>
    <w:p w:rsidR="0016321D" w:rsidRPr="0016321D" w:rsidRDefault="0016321D" w:rsidP="00B835AC">
      <w:pPr>
        <w:pStyle w:val="BodyText"/>
        <w:tabs>
          <w:tab w:val="left" w:pos="0"/>
        </w:tabs>
        <w:jc w:val="both"/>
        <w:rPr>
          <w:rFonts w:asciiTheme="minorHAnsi" w:hAnsiTheme="minorHAnsi" w:cstheme="minorHAnsi"/>
        </w:rPr>
      </w:pPr>
      <w:r w:rsidRPr="0016321D">
        <w:rPr>
          <w:rFonts w:asciiTheme="minorHAnsi" w:hAnsiTheme="minorHAnsi" w:cstheme="minorHAnsi"/>
        </w:rPr>
        <w:t xml:space="preserve">Note: Text related to diagrams should also be translated professionally </w:t>
      </w:r>
    </w:p>
    <w:p w:rsidR="0016321D" w:rsidRPr="0016321D" w:rsidRDefault="0016321D" w:rsidP="00B835AC">
      <w:pPr>
        <w:pStyle w:val="BodyText"/>
        <w:tabs>
          <w:tab w:val="left" w:pos="0"/>
        </w:tabs>
        <w:jc w:val="both"/>
        <w:rPr>
          <w:rFonts w:asciiTheme="minorHAnsi" w:hAnsiTheme="minorHAnsi" w:cstheme="minorHAnsi"/>
        </w:rPr>
      </w:pPr>
    </w:p>
    <w:p w:rsidR="0016321D" w:rsidRPr="0016321D" w:rsidRDefault="0016321D" w:rsidP="00B835AC">
      <w:pPr>
        <w:pStyle w:val="BodyText"/>
        <w:tabs>
          <w:tab w:val="left" w:pos="0"/>
        </w:tabs>
        <w:jc w:val="both"/>
        <w:rPr>
          <w:rFonts w:asciiTheme="minorHAnsi" w:hAnsiTheme="minorHAnsi" w:cstheme="minorHAnsi"/>
        </w:rPr>
      </w:pPr>
    </w:p>
    <w:p w:rsidR="0016321D" w:rsidRPr="0016321D" w:rsidRDefault="0016321D" w:rsidP="00B835AC">
      <w:pPr>
        <w:pStyle w:val="Heading2"/>
        <w:keepNext w:val="0"/>
        <w:keepLines w:val="0"/>
        <w:widowControl w:val="0"/>
        <w:numPr>
          <w:ilvl w:val="0"/>
          <w:numId w:val="27"/>
        </w:numPr>
        <w:tabs>
          <w:tab w:val="left" w:pos="0"/>
          <w:tab w:val="left" w:pos="580"/>
        </w:tabs>
        <w:autoSpaceDE w:val="0"/>
        <w:autoSpaceDN w:val="0"/>
        <w:spacing w:before="0" w:line="240" w:lineRule="auto"/>
        <w:ind w:left="0" w:firstLine="0"/>
        <w:jc w:val="both"/>
        <w:rPr>
          <w:rFonts w:asciiTheme="minorHAnsi" w:hAnsiTheme="minorHAnsi" w:cstheme="minorHAnsi"/>
          <w:sz w:val="22"/>
          <w:szCs w:val="22"/>
        </w:rPr>
      </w:pPr>
      <w:r w:rsidRPr="0016321D">
        <w:rPr>
          <w:rFonts w:asciiTheme="minorHAnsi" w:hAnsiTheme="minorHAnsi" w:cstheme="minorHAnsi"/>
          <w:w w:val="90"/>
          <w:sz w:val="22"/>
          <w:szCs w:val="22"/>
        </w:rPr>
        <w:t>GENERAL TIME</w:t>
      </w:r>
      <w:r w:rsidRPr="0016321D">
        <w:rPr>
          <w:rFonts w:asciiTheme="minorHAnsi" w:hAnsiTheme="minorHAnsi" w:cstheme="minorHAnsi"/>
          <w:spacing w:val="-18"/>
          <w:w w:val="90"/>
          <w:sz w:val="22"/>
          <w:szCs w:val="22"/>
        </w:rPr>
        <w:t xml:space="preserve"> </w:t>
      </w:r>
      <w:r w:rsidRPr="0016321D">
        <w:rPr>
          <w:rFonts w:asciiTheme="minorHAnsi" w:hAnsiTheme="minorHAnsi" w:cstheme="minorHAnsi"/>
          <w:w w:val="90"/>
          <w:sz w:val="22"/>
          <w:szCs w:val="22"/>
        </w:rPr>
        <w:t>SCHEDULE</w:t>
      </w:r>
    </w:p>
    <w:p w:rsidR="0016321D" w:rsidRPr="0016321D" w:rsidRDefault="0016321D" w:rsidP="00B835AC">
      <w:pPr>
        <w:tabs>
          <w:tab w:val="left" w:pos="0"/>
          <w:tab w:val="left" w:pos="5900"/>
        </w:tabs>
        <w:spacing w:after="0" w:line="240" w:lineRule="auto"/>
        <w:jc w:val="both"/>
        <w:rPr>
          <w:rFonts w:cstheme="minorHAnsi"/>
          <w:color w:val="002060"/>
        </w:rPr>
      </w:pPr>
      <w:r w:rsidRPr="0016321D">
        <w:rPr>
          <w:rFonts w:cstheme="minorHAnsi"/>
        </w:rPr>
        <w:t>The scope of the services shall be completed by 30 June 2023.</w:t>
      </w:r>
      <w:r w:rsidRPr="0016321D">
        <w:rPr>
          <w:rFonts w:cstheme="minorHAnsi"/>
          <w:color w:val="002060"/>
        </w:rPr>
        <w:tab/>
      </w:r>
    </w:p>
    <w:p w:rsidR="0016321D" w:rsidRDefault="0016321D" w:rsidP="00B835AC">
      <w:pPr>
        <w:tabs>
          <w:tab w:val="left" w:pos="0"/>
        </w:tabs>
        <w:spacing w:after="0" w:line="240" w:lineRule="auto"/>
        <w:jc w:val="both"/>
        <w:rPr>
          <w:rFonts w:cstheme="minorHAnsi"/>
        </w:rPr>
      </w:pPr>
    </w:p>
    <w:p w:rsidR="0016321D" w:rsidRPr="0016321D" w:rsidRDefault="0016321D" w:rsidP="00B835AC">
      <w:pPr>
        <w:tabs>
          <w:tab w:val="left" w:pos="0"/>
        </w:tabs>
        <w:spacing w:after="0" w:line="240" w:lineRule="auto"/>
        <w:jc w:val="both"/>
        <w:rPr>
          <w:rFonts w:cstheme="minorHAnsi"/>
        </w:rPr>
      </w:pPr>
    </w:p>
    <w:p w:rsidR="0016321D" w:rsidRPr="0016321D" w:rsidRDefault="0016321D" w:rsidP="00B835AC">
      <w:pPr>
        <w:pStyle w:val="Heading2"/>
        <w:keepNext w:val="0"/>
        <w:keepLines w:val="0"/>
        <w:widowControl w:val="0"/>
        <w:numPr>
          <w:ilvl w:val="0"/>
          <w:numId w:val="27"/>
        </w:numPr>
        <w:tabs>
          <w:tab w:val="left" w:pos="0"/>
          <w:tab w:val="left" w:pos="580"/>
        </w:tabs>
        <w:autoSpaceDE w:val="0"/>
        <w:autoSpaceDN w:val="0"/>
        <w:spacing w:before="0" w:line="240" w:lineRule="auto"/>
        <w:ind w:left="0" w:firstLine="0"/>
        <w:jc w:val="both"/>
        <w:rPr>
          <w:rFonts w:asciiTheme="minorHAnsi" w:hAnsiTheme="minorHAnsi" w:cstheme="minorHAnsi"/>
          <w:sz w:val="22"/>
          <w:szCs w:val="22"/>
        </w:rPr>
      </w:pPr>
      <w:r w:rsidRPr="0016321D">
        <w:rPr>
          <w:rFonts w:asciiTheme="minorHAnsi" w:hAnsiTheme="minorHAnsi" w:cstheme="minorHAnsi"/>
          <w:w w:val="90"/>
          <w:sz w:val="22"/>
          <w:szCs w:val="22"/>
        </w:rPr>
        <w:t>EXPECTED</w:t>
      </w:r>
      <w:r w:rsidRPr="0016321D">
        <w:rPr>
          <w:rFonts w:asciiTheme="minorHAnsi" w:hAnsiTheme="minorHAnsi" w:cstheme="minorHAnsi"/>
          <w:spacing w:val="-8"/>
          <w:w w:val="90"/>
          <w:sz w:val="22"/>
          <w:szCs w:val="22"/>
        </w:rPr>
        <w:t xml:space="preserve"> </w:t>
      </w:r>
      <w:r w:rsidRPr="0016321D">
        <w:rPr>
          <w:rFonts w:asciiTheme="minorHAnsi" w:hAnsiTheme="minorHAnsi" w:cstheme="minorHAnsi"/>
          <w:w w:val="90"/>
          <w:sz w:val="22"/>
          <w:szCs w:val="22"/>
        </w:rPr>
        <w:t>DELIVERABLES</w:t>
      </w:r>
    </w:p>
    <w:p w:rsidR="0016321D" w:rsidRPr="0016321D" w:rsidRDefault="0016321D" w:rsidP="00B835AC">
      <w:pPr>
        <w:pStyle w:val="BodyText"/>
        <w:tabs>
          <w:tab w:val="left" w:pos="0"/>
        </w:tabs>
        <w:jc w:val="both"/>
        <w:rPr>
          <w:rFonts w:asciiTheme="minorHAnsi" w:hAnsiTheme="minorHAnsi" w:cstheme="minorHAnsi"/>
        </w:rPr>
      </w:pPr>
      <w:r w:rsidRPr="0016321D">
        <w:rPr>
          <w:rFonts w:asciiTheme="minorHAnsi" w:hAnsiTheme="minorHAnsi" w:cstheme="minorHAnsi"/>
        </w:rPr>
        <w:t>The deliverables are as follows:</w:t>
      </w:r>
    </w:p>
    <w:p w:rsidR="0016321D" w:rsidRPr="0016321D" w:rsidRDefault="0016321D" w:rsidP="00B835AC">
      <w:pPr>
        <w:pStyle w:val="BodyText"/>
        <w:tabs>
          <w:tab w:val="left" w:pos="0"/>
        </w:tabs>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2790"/>
      </w:tblGrid>
      <w:tr w:rsidR="00CC1626" w:rsidRPr="0016321D" w:rsidTr="00CC1626">
        <w:trPr>
          <w:trHeight w:val="362"/>
          <w:jc w:val="center"/>
        </w:trPr>
        <w:tc>
          <w:tcPr>
            <w:tcW w:w="6141" w:type="dxa"/>
            <w:shd w:val="clear" w:color="auto" w:fill="F2F2F2" w:themeFill="background1" w:themeFillShade="F2"/>
            <w:vAlign w:val="center"/>
          </w:tcPr>
          <w:p w:rsidR="00CC1626" w:rsidRPr="00B835AC" w:rsidRDefault="00CC1626" w:rsidP="00B835AC">
            <w:pPr>
              <w:pStyle w:val="BodyText"/>
              <w:tabs>
                <w:tab w:val="left" w:pos="0"/>
              </w:tabs>
              <w:jc w:val="both"/>
              <w:rPr>
                <w:rFonts w:asciiTheme="minorHAnsi" w:hAnsiTheme="minorHAnsi" w:cstheme="minorHAnsi"/>
                <w:b/>
                <w:sz w:val="18"/>
                <w:szCs w:val="18"/>
              </w:rPr>
            </w:pPr>
            <w:r w:rsidRPr="00B835AC">
              <w:rPr>
                <w:rFonts w:asciiTheme="minorHAnsi" w:hAnsiTheme="minorHAnsi" w:cstheme="minorHAnsi"/>
                <w:b/>
                <w:sz w:val="18"/>
                <w:szCs w:val="18"/>
              </w:rPr>
              <w:t>Document to be Translated</w:t>
            </w:r>
          </w:p>
        </w:tc>
        <w:tc>
          <w:tcPr>
            <w:tcW w:w="2790" w:type="dxa"/>
            <w:shd w:val="clear" w:color="auto" w:fill="F2F2F2" w:themeFill="background1" w:themeFillShade="F2"/>
            <w:vAlign w:val="center"/>
          </w:tcPr>
          <w:p w:rsidR="00CC1626" w:rsidRPr="00B835AC" w:rsidRDefault="00CC1626" w:rsidP="00B835AC">
            <w:pPr>
              <w:pStyle w:val="BodyText"/>
              <w:tabs>
                <w:tab w:val="left" w:pos="0"/>
              </w:tabs>
              <w:jc w:val="both"/>
              <w:rPr>
                <w:rFonts w:asciiTheme="minorHAnsi" w:hAnsiTheme="minorHAnsi" w:cstheme="minorHAnsi"/>
                <w:b/>
                <w:sz w:val="18"/>
                <w:szCs w:val="18"/>
              </w:rPr>
            </w:pPr>
            <w:r w:rsidRPr="00B835AC">
              <w:rPr>
                <w:rFonts w:asciiTheme="minorHAnsi" w:hAnsiTheme="minorHAnsi" w:cstheme="minorHAnsi"/>
                <w:b/>
                <w:sz w:val="18"/>
                <w:szCs w:val="18"/>
              </w:rPr>
              <w:t>Estimated Number of Words</w:t>
            </w:r>
          </w:p>
        </w:tc>
      </w:tr>
      <w:tr w:rsidR="00CC1626" w:rsidRPr="0016321D" w:rsidTr="00CC1626">
        <w:trPr>
          <w:trHeight w:val="274"/>
          <w:jc w:val="center"/>
        </w:trPr>
        <w:tc>
          <w:tcPr>
            <w:tcW w:w="6141" w:type="dxa"/>
            <w:shd w:val="clear" w:color="auto" w:fill="auto"/>
            <w:vAlign w:val="center"/>
          </w:tcPr>
          <w:p w:rsidR="00CC1626" w:rsidRPr="0016321D" w:rsidRDefault="00CC1626" w:rsidP="00B835AC">
            <w:pPr>
              <w:pStyle w:val="BodyText"/>
              <w:tabs>
                <w:tab w:val="left" w:pos="0"/>
              </w:tabs>
              <w:jc w:val="both"/>
              <w:rPr>
                <w:rFonts w:asciiTheme="minorHAnsi" w:hAnsiTheme="minorHAnsi" w:cstheme="minorHAnsi"/>
                <w:sz w:val="20"/>
                <w:szCs w:val="20"/>
              </w:rPr>
            </w:pPr>
            <w:r w:rsidRPr="0016321D">
              <w:rPr>
                <w:rFonts w:asciiTheme="minorHAnsi" w:hAnsiTheme="minorHAnsi" w:cstheme="minorHAnsi"/>
                <w:sz w:val="20"/>
                <w:szCs w:val="20"/>
              </w:rPr>
              <w:t>West Kordofan Arabic to English</w:t>
            </w:r>
          </w:p>
        </w:tc>
        <w:tc>
          <w:tcPr>
            <w:tcW w:w="2790" w:type="dxa"/>
            <w:shd w:val="clear" w:color="auto" w:fill="auto"/>
            <w:vAlign w:val="center"/>
          </w:tcPr>
          <w:p w:rsidR="00CC1626" w:rsidRPr="0016321D" w:rsidRDefault="00CC1626" w:rsidP="00916EBE">
            <w:pPr>
              <w:pStyle w:val="BodyText"/>
              <w:tabs>
                <w:tab w:val="left" w:pos="0"/>
              </w:tabs>
              <w:jc w:val="center"/>
              <w:rPr>
                <w:rFonts w:asciiTheme="minorHAnsi" w:hAnsiTheme="minorHAnsi" w:cstheme="minorHAnsi"/>
                <w:sz w:val="20"/>
                <w:szCs w:val="20"/>
              </w:rPr>
            </w:pPr>
            <w:r>
              <w:rPr>
                <w:rFonts w:asciiTheme="minorHAnsi" w:hAnsiTheme="minorHAnsi" w:cstheme="minorHAnsi"/>
                <w:sz w:val="20"/>
                <w:szCs w:val="20"/>
              </w:rPr>
              <w:t>11</w:t>
            </w:r>
            <w:r w:rsidRPr="0016321D">
              <w:rPr>
                <w:rFonts w:asciiTheme="minorHAnsi" w:hAnsiTheme="minorHAnsi" w:cstheme="minorHAnsi"/>
                <w:sz w:val="20"/>
                <w:szCs w:val="20"/>
              </w:rPr>
              <w:t>000</w:t>
            </w:r>
          </w:p>
        </w:tc>
      </w:tr>
      <w:tr w:rsidR="00CC1626" w:rsidRPr="0016321D" w:rsidTr="00CC1626">
        <w:trPr>
          <w:trHeight w:val="274"/>
          <w:jc w:val="center"/>
        </w:trPr>
        <w:tc>
          <w:tcPr>
            <w:tcW w:w="6141" w:type="dxa"/>
            <w:shd w:val="clear" w:color="auto" w:fill="auto"/>
            <w:vAlign w:val="center"/>
          </w:tcPr>
          <w:p w:rsidR="00CC1626" w:rsidRPr="0016321D" w:rsidRDefault="00CC1626" w:rsidP="00B835AC">
            <w:pPr>
              <w:pStyle w:val="BodyText"/>
              <w:tabs>
                <w:tab w:val="left" w:pos="0"/>
              </w:tabs>
              <w:jc w:val="both"/>
              <w:rPr>
                <w:rFonts w:asciiTheme="minorHAnsi" w:hAnsiTheme="minorHAnsi" w:cstheme="minorHAnsi"/>
                <w:sz w:val="20"/>
                <w:szCs w:val="20"/>
              </w:rPr>
            </w:pPr>
            <w:r w:rsidRPr="0016321D">
              <w:rPr>
                <w:rFonts w:asciiTheme="minorHAnsi" w:hAnsiTheme="minorHAnsi" w:cstheme="minorHAnsi"/>
                <w:sz w:val="20"/>
                <w:szCs w:val="20"/>
              </w:rPr>
              <w:t>West Kordofan English to Arabic</w:t>
            </w:r>
          </w:p>
        </w:tc>
        <w:tc>
          <w:tcPr>
            <w:tcW w:w="2790" w:type="dxa"/>
            <w:shd w:val="clear" w:color="auto" w:fill="auto"/>
            <w:vAlign w:val="center"/>
          </w:tcPr>
          <w:p w:rsidR="00CC1626" w:rsidRPr="0016321D" w:rsidRDefault="00CC1626" w:rsidP="00916EBE">
            <w:pPr>
              <w:pStyle w:val="BodyText"/>
              <w:tabs>
                <w:tab w:val="left" w:pos="0"/>
              </w:tabs>
              <w:jc w:val="center"/>
              <w:rPr>
                <w:rFonts w:asciiTheme="minorHAnsi" w:hAnsiTheme="minorHAnsi" w:cstheme="minorHAnsi"/>
                <w:sz w:val="20"/>
                <w:szCs w:val="20"/>
              </w:rPr>
            </w:pPr>
            <w:r w:rsidRPr="0016321D">
              <w:rPr>
                <w:rFonts w:asciiTheme="minorHAnsi" w:hAnsiTheme="minorHAnsi" w:cstheme="minorHAnsi"/>
                <w:sz w:val="20"/>
                <w:szCs w:val="20"/>
              </w:rPr>
              <w:t>4500</w:t>
            </w:r>
          </w:p>
        </w:tc>
      </w:tr>
      <w:tr w:rsidR="00CC1626" w:rsidRPr="0016321D" w:rsidTr="00CC1626">
        <w:trPr>
          <w:trHeight w:val="274"/>
          <w:jc w:val="center"/>
        </w:trPr>
        <w:tc>
          <w:tcPr>
            <w:tcW w:w="6141" w:type="dxa"/>
            <w:shd w:val="clear" w:color="auto" w:fill="auto"/>
            <w:vAlign w:val="center"/>
          </w:tcPr>
          <w:p w:rsidR="00CC1626" w:rsidRPr="0016321D" w:rsidRDefault="00CC1626" w:rsidP="00B835AC">
            <w:pPr>
              <w:pStyle w:val="BodyText"/>
              <w:tabs>
                <w:tab w:val="left" w:pos="0"/>
              </w:tabs>
              <w:jc w:val="both"/>
              <w:rPr>
                <w:rFonts w:asciiTheme="minorHAnsi" w:hAnsiTheme="minorHAnsi" w:cstheme="minorHAnsi"/>
                <w:sz w:val="20"/>
                <w:szCs w:val="20"/>
              </w:rPr>
            </w:pPr>
            <w:r w:rsidRPr="0016321D">
              <w:rPr>
                <w:rFonts w:asciiTheme="minorHAnsi" w:hAnsiTheme="minorHAnsi" w:cstheme="minorHAnsi"/>
                <w:sz w:val="20"/>
                <w:szCs w:val="20"/>
              </w:rPr>
              <w:t>East Darfur Arabic to English</w:t>
            </w:r>
          </w:p>
        </w:tc>
        <w:tc>
          <w:tcPr>
            <w:tcW w:w="2790" w:type="dxa"/>
            <w:shd w:val="clear" w:color="auto" w:fill="auto"/>
            <w:vAlign w:val="center"/>
          </w:tcPr>
          <w:p w:rsidR="00CC1626" w:rsidRPr="0016321D" w:rsidRDefault="00CC1626" w:rsidP="00916EBE">
            <w:pPr>
              <w:pStyle w:val="BodyText"/>
              <w:tabs>
                <w:tab w:val="left" w:pos="0"/>
              </w:tabs>
              <w:jc w:val="center"/>
              <w:rPr>
                <w:rFonts w:asciiTheme="minorHAnsi" w:hAnsiTheme="minorHAnsi" w:cstheme="minorHAnsi"/>
                <w:sz w:val="20"/>
                <w:szCs w:val="20"/>
              </w:rPr>
            </w:pPr>
            <w:r w:rsidRPr="0016321D">
              <w:rPr>
                <w:rFonts w:asciiTheme="minorHAnsi" w:hAnsiTheme="minorHAnsi" w:cstheme="minorHAnsi"/>
                <w:sz w:val="20"/>
                <w:szCs w:val="20"/>
              </w:rPr>
              <w:t>26000</w:t>
            </w:r>
          </w:p>
        </w:tc>
      </w:tr>
      <w:tr w:rsidR="00CC1626" w:rsidRPr="0016321D" w:rsidTr="00CC1626">
        <w:trPr>
          <w:trHeight w:val="274"/>
          <w:jc w:val="center"/>
        </w:trPr>
        <w:tc>
          <w:tcPr>
            <w:tcW w:w="6141" w:type="dxa"/>
            <w:shd w:val="clear" w:color="auto" w:fill="auto"/>
            <w:vAlign w:val="center"/>
          </w:tcPr>
          <w:p w:rsidR="00CC1626" w:rsidRPr="0016321D" w:rsidRDefault="00CC1626" w:rsidP="00B835AC">
            <w:pPr>
              <w:pStyle w:val="BodyText"/>
              <w:tabs>
                <w:tab w:val="left" w:pos="0"/>
              </w:tabs>
              <w:jc w:val="both"/>
              <w:rPr>
                <w:rFonts w:asciiTheme="minorHAnsi" w:hAnsiTheme="minorHAnsi" w:cstheme="minorHAnsi"/>
                <w:sz w:val="20"/>
                <w:szCs w:val="20"/>
              </w:rPr>
            </w:pPr>
            <w:r w:rsidRPr="0016321D">
              <w:rPr>
                <w:rFonts w:asciiTheme="minorHAnsi" w:hAnsiTheme="minorHAnsi" w:cstheme="minorHAnsi"/>
                <w:sz w:val="20"/>
                <w:szCs w:val="20"/>
              </w:rPr>
              <w:t>East Darfur English to Arabic</w:t>
            </w:r>
          </w:p>
        </w:tc>
        <w:tc>
          <w:tcPr>
            <w:tcW w:w="2790" w:type="dxa"/>
            <w:shd w:val="clear" w:color="auto" w:fill="auto"/>
            <w:vAlign w:val="center"/>
          </w:tcPr>
          <w:p w:rsidR="00CC1626" w:rsidRPr="0016321D" w:rsidRDefault="00CC1626" w:rsidP="00916EBE">
            <w:pPr>
              <w:pStyle w:val="BodyText"/>
              <w:tabs>
                <w:tab w:val="left" w:pos="0"/>
              </w:tabs>
              <w:jc w:val="center"/>
              <w:rPr>
                <w:rFonts w:asciiTheme="minorHAnsi" w:hAnsiTheme="minorHAnsi" w:cstheme="minorHAnsi"/>
                <w:sz w:val="20"/>
                <w:szCs w:val="20"/>
              </w:rPr>
            </w:pPr>
            <w:r w:rsidRPr="0016321D">
              <w:rPr>
                <w:rFonts w:asciiTheme="minorHAnsi" w:hAnsiTheme="minorHAnsi" w:cstheme="minorHAnsi"/>
                <w:sz w:val="20"/>
                <w:szCs w:val="20"/>
              </w:rPr>
              <w:t>5000</w:t>
            </w:r>
          </w:p>
        </w:tc>
      </w:tr>
      <w:tr w:rsidR="00CC1626" w:rsidRPr="0016321D" w:rsidTr="00CC1626">
        <w:trPr>
          <w:trHeight w:val="274"/>
          <w:jc w:val="center"/>
        </w:trPr>
        <w:tc>
          <w:tcPr>
            <w:tcW w:w="6141" w:type="dxa"/>
            <w:shd w:val="clear" w:color="auto" w:fill="auto"/>
            <w:vAlign w:val="center"/>
          </w:tcPr>
          <w:p w:rsidR="00CC1626" w:rsidRPr="0016321D" w:rsidRDefault="00CC1626" w:rsidP="00B835AC">
            <w:pPr>
              <w:pStyle w:val="BodyText"/>
              <w:tabs>
                <w:tab w:val="left" w:pos="0"/>
              </w:tabs>
              <w:jc w:val="both"/>
              <w:rPr>
                <w:rFonts w:asciiTheme="minorHAnsi" w:hAnsiTheme="minorHAnsi" w:cstheme="minorHAnsi"/>
                <w:sz w:val="20"/>
                <w:szCs w:val="20"/>
              </w:rPr>
            </w:pPr>
            <w:r w:rsidRPr="0016321D">
              <w:rPr>
                <w:rFonts w:asciiTheme="minorHAnsi" w:hAnsiTheme="minorHAnsi" w:cstheme="minorHAnsi"/>
                <w:sz w:val="20"/>
                <w:szCs w:val="20"/>
              </w:rPr>
              <w:t>English to Arabic</w:t>
            </w:r>
          </w:p>
        </w:tc>
        <w:tc>
          <w:tcPr>
            <w:tcW w:w="2790" w:type="dxa"/>
            <w:shd w:val="clear" w:color="auto" w:fill="auto"/>
            <w:vAlign w:val="center"/>
          </w:tcPr>
          <w:p w:rsidR="00CC1626" w:rsidRPr="0016321D" w:rsidRDefault="00CC1626" w:rsidP="00916EBE">
            <w:pPr>
              <w:pStyle w:val="BodyText"/>
              <w:tabs>
                <w:tab w:val="left" w:pos="0"/>
              </w:tabs>
              <w:jc w:val="center"/>
              <w:rPr>
                <w:rFonts w:asciiTheme="minorHAnsi" w:hAnsiTheme="minorHAnsi" w:cstheme="minorHAnsi"/>
                <w:sz w:val="20"/>
                <w:szCs w:val="20"/>
              </w:rPr>
            </w:pPr>
            <w:r w:rsidRPr="0016321D">
              <w:rPr>
                <w:rFonts w:asciiTheme="minorHAnsi" w:hAnsiTheme="minorHAnsi" w:cstheme="minorHAnsi"/>
                <w:sz w:val="20"/>
                <w:szCs w:val="20"/>
              </w:rPr>
              <w:t>3500</w:t>
            </w:r>
          </w:p>
        </w:tc>
      </w:tr>
      <w:tr w:rsidR="00CC1626" w:rsidRPr="0016321D" w:rsidTr="00CC1626">
        <w:trPr>
          <w:trHeight w:val="274"/>
          <w:jc w:val="center"/>
        </w:trPr>
        <w:tc>
          <w:tcPr>
            <w:tcW w:w="6141" w:type="dxa"/>
            <w:shd w:val="clear" w:color="auto" w:fill="auto"/>
            <w:vAlign w:val="center"/>
          </w:tcPr>
          <w:p w:rsidR="00CC1626" w:rsidRPr="0016321D" w:rsidRDefault="00CC1626" w:rsidP="00B835AC">
            <w:pPr>
              <w:pStyle w:val="BodyText"/>
              <w:tabs>
                <w:tab w:val="left" w:pos="0"/>
              </w:tabs>
              <w:jc w:val="both"/>
              <w:rPr>
                <w:rFonts w:asciiTheme="minorHAnsi" w:hAnsiTheme="minorHAnsi" w:cstheme="minorHAnsi"/>
                <w:sz w:val="20"/>
                <w:szCs w:val="20"/>
              </w:rPr>
            </w:pPr>
            <w:r w:rsidRPr="0016321D">
              <w:rPr>
                <w:rFonts w:asciiTheme="minorHAnsi" w:hAnsiTheme="minorHAnsi" w:cstheme="minorHAnsi"/>
                <w:sz w:val="20"/>
                <w:szCs w:val="20"/>
              </w:rPr>
              <w:t xml:space="preserve">Total </w:t>
            </w:r>
          </w:p>
        </w:tc>
        <w:tc>
          <w:tcPr>
            <w:tcW w:w="2790" w:type="dxa"/>
            <w:shd w:val="clear" w:color="auto" w:fill="auto"/>
            <w:vAlign w:val="center"/>
          </w:tcPr>
          <w:p w:rsidR="00CC1626" w:rsidRPr="0016321D" w:rsidRDefault="00CC1626" w:rsidP="00916EBE">
            <w:pPr>
              <w:pStyle w:val="BodyText"/>
              <w:tabs>
                <w:tab w:val="left" w:pos="0"/>
              </w:tabs>
              <w:jc w:val="center"/>
              <w:rPr>
                <w:rFonts w:asciiTheme="minorHAnsi" w:hAnsiTheme="minorHAnsi" w:cstheme="minorHAnsi"/>
                <w:sz w:val="20"/>
                <w:szCs w:val="20"/>
              </w:rPr>
            </w:pPr>
            <w:r w:rsidRPr="0016321D">
              <w:rPr>
                <w:rFonts w:asciiTheme="minorHAnsi" w:hAnsiTheme="minorHAnsi" w:cstheme="minorHAnsi"/>
                <w:sz w:val="20"/>
                <w:szCs w:val="20"/>
              </w:rPr>
              <w:t>50000</w:t>
            </w:r>
          </w:p>
        </w:tc>
      </w:tr>
    </w:tbl>
    <w:p w:rsidR="0016321D" w:rsidRPr="0016321D" w:rsidRDefault="0016321D" w:rsidP="00B835AC">
      <w:pPr>
        <w:pStyle w:val="BodyText"/>
        <w:tabs>
          <w:tab w:val="left" w:pos="0"/>
        </w:tabs>
        <w:jc w:val="both"/>
        <w:rPr>
          <w:rFonts w:asciiTheme="minorHAnsi" w:hAnsiTheme="minorHAnsi" w:cstheme="minorHAnsi"/>
        </w:rPr>
      </w:pPr>
    </w:p>
    <w:p w:rsidR="0016321D" w:rsidRPr="0016321D" w:rsidRDefault="0016321D" w:rsidP="00B835AC">
      <w:pPr>
        <w:pStyle w:val="BodyText"/>
        <w:tabs>
          <w:tab w:val="left" w:pos="0"/>
        </w:tabs>
        <w:jc w:val="both"/>
        <w:rPr>
          <w:rFonts w:asciiTheme="minorHAnsi" w:hAnsiTheme="minorHAnsi" w:cstheme="minorHAnsi"/>
        </w:rPr>
      </w:pPr>
      <w:r w:rsidRPr="0016321D">
        <w:rPr>
          <w:rFonts w:asciiTheme="minorHAnsi" w:hAnsiTheme="minorHAnsi" w:cstheme="minorHAnsi"/>
        </w:rPr>
        <w:t xml:space="preserve">The service provider will be contracted for translation from Arabic to English and English to Arabic for a total of 50,000 words. Based upon planning considerations of senior PROSPECTS managers, a request to translate a document(s) is forwarded to the translation service provider who has (to supply a working translated document (within a convenient mutually agreed period) to the PROSPECTS Programme Manager, Mr. Sean Paterson, at </w:t>
      </w:r>
      <w:hyperlink r:id="rId9" w:history="1">
        <w:r w:rsidRPr="0016321D">
          <w:rPr>
            <w:rStyle w:val="Hyperlink"/>
            <w:rFonts w:asciiTheme="minorHAnsi" w:hAnsiTheme="minorHAnsi" w:cstheme="minorHAnsi"/>
          </w:rPr>
          <w:t>patersond@ilo.org</w:t>
        </w:r>
      </w:hyperlink>
      <w:r w:rsidRPr="0016321D">
        <w:rPr>
          <w:rFonts w:asciiTheme="minorHAnsi" w:hAnsiTheme="minorHAnsi" w:cstheme="minorHAnsi"/>
        </w:rPr>
        <w:t xml:space="preserve">  in word format using Calibri Font and size 11. These documents should be of professionally formatted quality and will be used by multiple stakeholders. </w:t>
      </w:r>
    </w:p>
    <w:p w:rsidR="0016321D" w:rsidRPr="0016321D" w:rsidRDefault="0016321D" w:rsidP="00B835AC">
      <w:pPr>
        <w:pStyle w:val="BodyText"/>
        <w:tabs>
          <w:tab w:val="left" w:pos="0"/>
        </w:tabs>
        <w:jc w:val="both"/>
        <w:rPr>
          <w:rFonts w:asciiTheme="minorHAnsi" w:hAnsiTheme="minorHAnsi" w:cstheme="minorHAnsi"/>
        </w:rPr>
      </w:pPr>
    </w:p>
    <w:p w:rsidR="0016321D" w:rsidRPr="0016321D" w:rsidRDefault="0016321D" w:rsidP="00B835AC">
      <w:pPr>
        <w:pStyle w:val="BodyText"/>
        <w:tabs>
          <w:tab w:val="left" w:pos="0"/>
        </w:tabs>
        <w:jc w:val="both"/>
        <w:rPr>
          <w:rFonts w:asciiTheme="minorHAnsi" w:hAnsiTheme="minorHAnsi" w:cstheme="minorHAnsi"/>
        </w:rPr>
      </w:pPr>
    </w:p>
    <w:p w:rsidR="0016321D" w:rsidRPr="0016321D" w:rsidRDefault="0016321D" w:rsidP="00B835AC">
      <w:pPr>
        <w:pStyle w:val="Heading2"/>
        <w:keepNext w:val="0"/>
        <w:keepLines w:val="0"/>
        <w:widowControl w:val="0"/>
        <w:numPr>
          <w:ilvl w:val="0"/>
          <w:numId w:val="27"/>
        </w:numPr>
        <w:tabs>
          <w:tab w:val="left" w:pos="580"/>
        </w:tabs>
        <w:autoSpaceDE w:val="0"/>
        <w:autoSpaceDN w:val="0"/>
        <w:spacing w:before="0" w:line="240" w:lineRule="auto"/>
        <w:ind w:left="0" w:firstLine="0"/>
        <w:jc w:val="both"/>
        <w:rPr>
          <w:rFonts w:asciiTheme="minorHAnsi" w:hAnsiTheme="minorHAnsi" w:cstheme="minorHAnsi"/>
          <w:sz w:val="22"/>
          <w:szCs w:val="22"/>
        </w:rPr>
      </w:pPr>
      <w:r w:rsidRPr="0016321D">
        <w:rPr>
          <w:rFonts w:asciiTheme="minorHAnsi" w:hAnsiTheme="minorHAnsi" w:cstheme="minorHAnsi"/>
          <w:w w:val="95"/>
          <w:sz w:val="22"/>
          <w:szCs w:val="22"/>
        </w:rPr>
        <w:t>LOCATION</w:t>
      </w:r>
    </w:p>
    <w:p w:rsidR="0016321D" w:rsidRPr="0016321D" w:rsidRDefault="0016321D" w:rsidP="00B835AC">
      <w:pPr>
        <w:pStyle w:val="BodyText"/>
        <w:jc w:val="both"/>
        <w:rPr>
          <w:rFonts w:asciiTheme="minorHAnsi" w:hAnsiTheme="minorHAnsi" w:cstheme="minorHAnsi"/>
        </w:rPr>
      </w:pPr>
      <w:r w:rsidRPr="0016321D">
        <w:rPr>
          <w:rFonts w:asciiTheme="minorHAnsi" w:hAnsiTheme="minorHAnsi" w:cstheme="minorHAnsi"/>
        </w:rPr>
        <w:t xml:space="preserve">During the COVID emergency phase, the assignment will be home-based in Sudan and is designed to involve minimal in-person meetings with ILO staff members. Communication via email and conferencing applications. </w:t>
      </w:r>
    </w:p>
    <w:p w:rsidR="0016321D" w:rsidRPr="0016321D" w:rsidRDefault="0016321D" w:rsidP="00B835AC">
      <w:pPr>
        <w:pStyle w:val="BodyText"/>
        <w:jc w:val="both"/>
        <w:rPr>
          <w:rFonts w:asciiTheme="minorHAnsi" w:hAnsiTheme="minorHAnsi" w:cstheme="minorHAnsi"/>
        </w:rPr>
      </w:pPr>
    </w:p>
    <w:p w:rsidR="0016321D" w:rsidRPr="0016321D" w:rsidRDefault="0016321D" w:rsidP="00B835AC">
      <w:pPr>
        <w:pStyle w:val="BodyText"/>
        <w:jc w:val="both"/>
        <w:rPr>
          <w:rFonts w:asciiTheme="minorHAnsi" w:hAnsiTheme="minorHAnsi" w:cstheme="minorHAnsi"/>
        </w:rPr>
      </w:pPr>
    </w:p>
    <w:p w:rsidR="0016321D" w:rsidRPr="0016321D" w:rsidRDefault="0016321D" w:rsidP="00B835AC">
      <w:pPr>
        <w:pStyle w:val="Heading2"/>
        <w:keepNext w:val="0"/>
        <w:keepLines w:val="0"/>
        <w:widowControl w:val="0"/>
        <w:numPr>
          <w:ilvl w:val="0"/>
          <w:numId w:val="27"/>
        </w:numPr>
        <w:tabs>
          <w:tab w:val="left" w:pos="580"/>
        </w:tabs>
        <w:autoSpaceDE w:val="0"/>
        <w:autoSpaceDN w:val="0"/>
        <w:spacing w:before="0" w:line="240" w:lineRule="auto"/>
        <w:ind w:left="0" w:firstLine="0"/>
        <w:jc w:val="both"/>
        <w:rPr>
          <w:rFonts w:asciiTheme="minorHAnsi" w:hAnsiTheme="minorHAnsi" w:cstheme="minorHAnsi"/>
          <w:w w:val="95"/>
          <w:sz w:val="22"/>
          <w:szCs w:val="22"/>
        </w:rPr>
      </w:pPr>
      <w:r w:rsidRPr="0016321D">
        <w:rPr>
          <w:rFonts w:asciiTheme="minorHAnsi" w:hAnsiTheme="minorHAnsi" w:cstheme="minorHAnsi"/>
          <w:w w:val="95"/>
          <w:sz w:val="22"/>
          <w:szCs w:val="22"/>
        </w:rPr>
        <w:t>SUBMISSION</w:t>
      </w:r>
    </w:p>
    <w:p w:rsidR="0016321D" w:rsidRPr="0016321D" w:rsidRDefault="0016321D" w:rsidP="00B835AC">
      <w:pPr>
        <w:pStyle w:val="BodyText"/>
        <w:jc w:val="both"/>
        <w:rPr>
          <w:rFonts w:asciiTheme="minorHAnsi" w:hAnsiTheme="minorHAnsi" w:cstheme="minorHAnsi"/>
          <w:lang w:val="en-GB"/>
        </w:rPr>
      </w:pPr>
      <w:r w:rsidRPr="0016321D">
        <w:rPr>
          <w:rFonts w:asciiTheme="minorHAnsi" w:hAnsiTheme="minorHAnsi" w:cstheme="minorHAnsi"/>
          <w:lang w:val="en-GB"/>
        </w:rPr>
        <w:t>Interested candidates are to submit the following documents to be considered in the selection process:</w:t>
      </w:r>
    </w:p>
    <w:p w:rsidR="0016321D" w:rsidRPr="0016321D" w:rsidRDefault="0016321D" w:rsidP="00C51A2C">
      <w:pPr>
        <w:pStyle w:val="BodyText"/>
        <w:numPr>
          <w:ilvl w:val="0"/>
          <w:numId w:val="29"/>
        </w:numPr>
        <w:ind w:left="567" w:hanging="567"/>
        <w:jc w:val="both"/>
        <w:rPr>
          <w:rFonts w:asciiTheme="minorHAnsi" w:hAnsiTheme="minorHAnsi" w:cstheme="minorHAnsi"/>
          <w:lang w:val="en-GB"/>
        </w:rPr>
      </w:pPr>
      <w:r w:rsidRPr="0016321D">
        <w:rPr>
          <w:rFonts w:asciiTheme="minorHAnsi" w:hAnsiTheme="minorHAnsi" w:cstheme="minorHAnsi"/>
          <w:lang w:val="en-GB"/>
        </w:rPr>
        <w:t>A Resume reflecting their experience as a translator;</w:t>
      </w:r>
    </w:p>
    <w:p w:rsidR="0016321D" w:rsidRPr="0016321D" w:rsidRDefault="0016321D" w:rsidP="00C51A2C">
      <w:pPr>
        <w:pStyle w:val="BodyText"/>
        <w:numPr>
          <w:ilvl w:val="0"/>
          <w:numId w:val="29"/>
        </w:numPr>
        <w:ind w:left="567" w:hanging="567"/>
        <w:jc w:val="both"/>
        <w:rPr>
          <w:rFonts w:asciiTheme="minorHAnsi" w:hAnsiTheme="minorHAnsi" w:cstheme="minorHAnsi"/>
          <w:lang w:val="en-GB"/>
        </w:rPr>
      </w:pPr>
      <w:r w:rsidRPr="0016321D">
        <w:rPr>
          <w:rFonts w:asciiTheme="minorHAnsi" w:hAnsiTheme="minorHAnsi" w:cstheme="minorHAnsi"/>
          <w:lang w:val="en-GB"/>
        </w:rPr>
        <w:t>The contacts of two references whom you translated for recently;</w:t>
      </w:r>
    </w:p>
    <w:p w:rsidR="0016321D" w:rsidRPr="0016321D" w:rsidRDefault="0016321D" w:rsidP="00C51A2C">
      <w:pPr>
        <w:pStyle w:val="BodyText"/>
        <w:numPr>
          <w:ilvl w:val="0"/>
          <w:numId w:val="29"/>
        </w:numPr>
        <w:ind w:left="567" w:hanging="567"/>
        <w:jc w:val="both"/>
        <w:rPr>
          <w:rFonts w:asciiTheme="minorHAnsi" w:hAnsiTheme="minorHAnsi" w:cstheme="minorHAnsi"/>
          <w:lang w:val="en-GB"/>
        </w:rPr>
      </w:pPr>
      <w:r w:rsidRPr="0016321D">
        <w:rPr>
          <w:rFonts w:asciiTheme="minorHAnsi" w:hAnsiTheme="minorHAnsi" w:cstheme="minorHAnsi"/>
          <w:lang w:val="en-GB"/>
        </w:rPr>
        <w:t>Sample of translation; and</w:t>
      </w:r>
    </w:p>
    <w:p w:rsidR="0016321D" w:rsidRPr="0016321D" w:rsidRDefault="0016321D" w:rsidP="00C51A2C">
      <w:pPr>
        <w:pStyle w:val="BodyText"/>
        <w:numPr>
          <w:ilvl w:val="0"/>
          <w:numId w:val="29"/>
        </w:numPr>
        <w:ind w:left="567" w:hanging="567"/>
        <w:jc w:val="both"/>
        <w:rPr>
          <w:rFonts w:asciiTheme="minorHAnsi" w:hAnsiTheme="minorHAnsi" w:cstheme="minorHAnsi"/>
          <w:lang w:val="en-GB"/>
        </w:rPr>
      </w:pPr>
      <w:r w:rsidRPr="0016321D">
        <w:rPr>
          <w:rFonts w:asciiTheme="minorHAnsi" w:hAnsiTheme="minorHAnsi" w:cstheme="minorHAnsi"/>
          <w:lang w:val="en-GB"/>
        </w:rPr>
        <w:t xml:space="preserve">The interested individual consultants are requested to provide a financial offer that includes ONLY professional fees related to this activity. </w:t>
      </w:r>
    </w:p>
    <w:p w:rsidR="0016321D" w:rsidRPr="0016321D" w:rsidRDefault="0016321D" w:rsidP="00B835AC">
      <w:pPr>
        <w:pStyle w:val="BodyText"/>
        <w:jc w:val="both"/>
        <w:rPr>
          <w:rFonts w:asciiTheme="minorHAnsi" w:hAnsiTheme="minorHAnsi" w:cstheme="minorHAnsi"/>
          <w:lang w:val="en-GB"/>
        </w:rPr>
      </w:pPr>
    </w:p>
    <w:p w:rsidR="0016321D" w:rsidRPr="0016321D" w:rsidRDefault="0016321D" w:rsidP="00B835AC">
      <w:pPr>
        <w:pStyle w:val="BodyText"/>
        <w:jc w:val="both"/>
        <w:rPr>
          <w:rFonts w:asciiTheme="minorHAnsi" w:hAnsiTheme="minorHAnsi" w:cstheme="minorHAnsi"/>
          <w:b/>
          <w:bCs/>
          <w:lang w:val="en-GB"/>
        </w:rPr>
      </w:pPr>
      <w:r w:rsidRPr="0016321D">
        <w:rPr>
          <w:rFonts w:asciiTheme="minorHAnsi" w:hAnsiTheme="minorHAnsi" w:cstheme="minorHAnsi"/>
          <w:lang w:val="en-GB"/>
        </w:rPr>
        <w:t xml:space="preserve">All of the above to be submitted to the ILO </w:t>
      </w:r>
      <w:r w:rsidR="00B835AC">
        <w:rPr>
          <w:rFonts w:asciiTheme="minorHAnsi" w:hAnsiTheme="minorHAnsi" w:cstheme="minorHAnsi"/>
          <w:lang w:val="en-GB"/>
        </w:rPr>
        <w:t>PROCUREMENT at</w:t>
      </w:r>
      <w:r w:rsidRPr="0016321D">
        <w:rPr>
          <w:rFonts w:asciiTheme="minorHAnsi" w:hAnsiTheme="minorHAnsi" w:cstheme="minorHAnsi"/>
          <w:lang w:val="en-GB"/>
        </w:rPr>
        <w:t xml:space="preserve">:  </w:t>
      </w:r>
      <w:hyperlink r:id="rId10" w:history="1">
        <w:r w:rsidRPr="0016321D">
          <w:rPr>
            <w:rStyle w:val="Hyperlink"/>
            <w:rFonts w:asciiTheme="minorHAnsi" w:hAnsiTheme="minorHAnsi" w:cstheme="minorHAnsi"/>
            <w:lang w:val="en-GB"/>
          </w:rPr>
          <w:t>ADDIS_PROCUREMENT@ilo.org</w:t>
        </w:r>
      </w:hyperlink>
      <w:r w:rsidRPr="0016321D">
        <w:rPr>
          <w:rFonts w:asciiTheme="minorHAnsi" w:hAnsiTheme="minorHAnsi" w:cstheme="minorHAnsi"/>
          <w:lang w:val="en-GB"/>
        </w:rPr>
        <w:t xml:space="preserve"> no later </w:t>
      </w:r>
      <w:r w:rsidR="00B835AC" w:rsidRPr="0016321D">
        <w:rPr>
          <w:rFonts w:asciiTheme="minorHAnsi" w:hAnsiTheme="minorHAnsi" w:cstheme="minorHAnsi"/>
          <w:lang w:val="en-GB"/>
        </w:rPr>
        <w:t xml:space="preserve">than </w:t>
      </w:r>
      <w:r w:rsidR="00B835AC" w:rsidRPr="0016321D">
        <w:rPr>
          <w:rFonts w:asciiTheme="minorHAnsi" w:hAnsiTheme="minorHAnsi" w:cstheme="minorHAnsi"/>
          <w:b/>
          <w:bCs/>
          <w:lang w:val="en-GB"/>
        </w:rPr>
        <w:t>03</w:t>
      </w:r>
      <w:r w:rsidRPr="0016321D">
        <w:rPr>
          <w:rFonts w:asciiTheme="minorHAnsi" w:hAnsiTheme="minorHAnsi" w:cstheme="minorHAnsi"/>
          <w:b/>
          <w:bCs/>
          <w:lang w:val="en-GB"/>
        </w:rPr>
        <w:t xml:space="preserve"> September 2021, 4pm Khartoum time.</w:t>
      </w:r>
    </w:p>
    <w:p w:rsidR="0016321D" w:rsidRPr="0016321D" w:rsidRDefault="0016321D" w:rsidP="00B835AC">
      <w:pPr>
        <w:pStyle w:val="BodyText"/>
        <w:jc w:val="both"/>
        <w:rPr>
          <w:rFonts w:asciiTheme="minorHAnsi" w:hAnsiTheme="minorHAnsi" w:cstheme="minorHAnsi"/>
          <w:b/>
          <w:bCs/>
          <w:lang w:val="en-GB"/>
        </w:rPr>
      </w:pPr>
    </w:p>
    <w:p w:rsidR="0016321D" w:rsidRPr="0016321D" w:rsidRDefault="0016321D" w:rsidP="00B835AC">
      <w:pPr>
        <w:pStyle w:val="Heading2"/>
        <w:keepNext w:val="0"/>
        <w:keepLines w:val="0"/>
        <w:widowControl w:val="0"/>
        <w:numPr>
          <w:ilvl w:val="0"/>
          <w:numId w:val="27"/>
        </w:numPr>
        <w:tabs>
          <w:tab w:val="left" w:pos="580"/>
        </w:tabs>
        <w:autoSpaceDE w:val="0"/>
        <w:autoSpaceDN w:val="0"/>
        <w:spacing w:before="0" w:line="240" w:lineRule="auto"/>
        <w:ind w:left="0" w:firstLine="0"/>
        <w:jc w:val="both"/>
        <w:rPr>
          <w:rFonts w:asciiTheme="minorHAnsi" w:hAnsiTheme="minorHAnsi" w:cstheme="minorHAnsi"/>
          <w:w w:val="95"/>
          <w:sz w:val="22"/>
          <w:szCs w:val="22"/>
        </w:rPr>
      </w:pPr>
      <w:r w:rsidRPr="0016321D">
        <w:rPr>
          <w:rFonts w:asciiTheme="minorHAnsi" w:hAnsiTheme="minorHAnsi" w:cstheme="minorHAnsi"/>
          <w:w w:val="95"/>
          <w:sz w:val="22"/>
          <w:szCs w:val="22"/>
        </w:rPr>
        <w:t>SELECTION CRITERIA</w:t>
      </w:r>
    </w:p>
    <w:p w:rsidR="0016321D" w:rsidRPr="0016321D" w:rsidRDefault="0016321D" w:rsidP="00B835AC">
      <w:pPr>
        <w:pStyle w:val="BodyText"/>
        <w:jc w:val="both"/>
        <w:rPr>
          <w:rFonts w:asciiTheme="minorHAnsi" w:hAnsiTheme="minorHAnsi" w:cstheme="minorHAnsi"/>
          <w:lang w:val="en-GB"/>
        </w:rPr>
      </w:pPr>
      <w:r w:rsidRPr="0016321D">
        <w:rPr>
          <w:rFonts w:asciiTheme="minorHAnsi" w:hAnsiTheme="minorHAnsi" w:cstheme="minorHAnsi"/>
          <w:lang w:val="en-GB"/>
        </w:rPr>
        <w:t>The successful candidate will be an experienced translator that worked for similar organisation to ILO. Evaluation of the suitability of the Consultant to work on this assignment will be made against the following technical criteria:</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gridCol w:w="1199"/>
      </w:tblGrid>
      <w:tr w:rsidR="0016321D" w:rsidRPr="0016321D" w:rsidTr="00C51A2C">
        <w:trPr>
          <w:trHeight w:val="441"/>
        </w:trPr>
        <w:tc>
          <w:tcPr>
            <w:tcW w:w="825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6321D" w:rsidRPr="0016321D" w:rsidRDefault="0016321D" w:rsidP="0016321D">
            <w:pPr>
              <w:pStyle w:val="BodyText"/>
              <w:rPr>
                <w:rFonts w:asciiTheme="minorHAnsi" w:hAnsiTheme="minorHAnsi" w:cstheme="minorHAnsi"/>
                <w:b/>
                <w:bCs/>
                <w:lang w:val="en-GB"/>
              </w:rPr>
            </w:pPr>
            <w:r w:rsidRPr="0016321D">
              <w:rPr>
                <w:rFonts w:asciiTheme="minorHAnsi" w:hAnsiTheme="minorHAnsi" w:cstheme="minorHAnsi"/>
                <w:b/>
                <w:bCs/>
                <w:lang w:val="en-GB"/>
              </w:rPr>
              <w:lastRenderedPageBreak/>
              <w:t>Evaluation Criteria</w:t>
            </w:r>
          </w:p>
        </w:tc>
        <w:tc>
          <w:tcPr>
            <w:tcW w:w="119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6321D" w:rsidRPr="0016321D" w:rsidRDefault="00916EBE" w:rsidP="00916EBE">
            <w:pPr>
              <w:pStyle w:val="BodyText"/>
              <w:jc w:val="center"/>
              <w:rPr>
                <w:rFonts w:asciiTheme="minorHAnsi" w:hAnsiTheme="minorHAnsi" w:cstheme="minorHAnsi"/>
                <w:b/>
                <w:bCs/>
                <w:lang w:val="en-GB"/>
              </w:rPr>
            </w:pPr>
            <w:r>
              <w:rPr>
                <w:rFonts w:asciiTheme="minorHAnsi" w:hAnsiTheme="minorHAnsi" w:cstheme="minorHAnsi"/>
                <w:b/>
                <w:bCs/>
                <w:lang w:val="en-GB"/>
              </w:rPr>
              <w:t>Maximum M</w:t>
            </w:r>
            <w:r w:rsidR="0016321D" w:rsidRPr="0016321D">
              <w:rPr>
                <w:rFonts w:asciiTheme="minorHAnsi" w:hAnsiTheme="minorHAnsi" w:cstheme="minorHAnsi"/>
                <w:b/>
                <w:bCs/>
                <w:lang w:val="en-GB"/>
              </w:rPr>
              <w:t>ark</w:t>
            </w:r>
          </w:p>
        </w:tc>
      </w:tr>
      <w:tr w:rsidR="0016321D" w:rsidRPr="0016321D" w:rsidTr="0086067F">
        <w:trPr>
          <w:trHeight w:val="417"/>
        </w:trPr>
        <w:tc>
          <w:tcPr>
            <w:tcW w:w="9450"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rsidR="0016321D" w:rsidRPr="0016321D" w:rsidRDefault="0016321D" w:rsidP="0016321D">
            <w:pPr>
              <w:pStyle w:val="BodyText"/>
              <w:numPr>
                <w:ilvl w:val="0"/>
                <w:numId w:val="30"/>
              </w:numPr>
              <w:ind w:left="0" w:firstLine="0"/>
              <w:rPr>
                <w:rFonts w:asciiTheme="minorHAnsi" w:hAnsiTheme="minorHAnsi" w:cstheme="minorHAnsi"/>
                <w:b/>
                <w:bCs/>
                <w:lang w:val="en-GB"/>
              </w:rPr>
            </w:pPr>
            <w:r w:rsidRPr="0016321D">
              <w:rPr>
                <w:rFonts w:asciiTheme="minorHAnsi" w:hAnsiTheme="minorHAnsi" w:cstheme="minorHAnsi"/>
                <w:b/>
                <w:bCs/>
                <w:lang w:val="en-GB"/>
              </w:rPr>
              <w:t>Expertise/Qualification</w:t>
            </w:r>
          </w:p>
        </w:tc>
      </w:tr>
      <w:tr w:rsidR="0016321D" w:rsidRPr="0016321D" w:rsidTr="00C51A2C">
        <w:trPr>
          <w:trHeight w:val="585"/>
        </w:trPr>
        <w:tc>
          <w:tcPr>
            <w:tcW w:w="8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21D" w:rsidRPr="00916EBE" w:rsidRDefault="0016321D" w:rsidP="00EF49A4">
            <w:pPr>
              <w:pStyle w:val="BodyText"/>
              <w:rPr>
                <w:rFonts w:asciiTheme="minorHAnsi" w:hAnsiTheme="minorHAnsi" w:cstheme="minorHAnsi"/>
                <w:sz w:val="20"/>
                <w:szCs w:val="20"/>
                <w:lang w:val="en-GB"/>
              </w:rPr>
            </w:pPr>
            <w:r w:rsidRPr="00916EBE">
              <w:rPr>
                <w:rFonts w:asciiTheme="minorHAnsi" w:hAnsiTheme="minorHAnsi" w:cstheme="minorHAnsi"/>
                <w:sz w:val="20"/>
                <w:szCs w:val="20"/>
                <w:lang w:val="en-GB"/>
              </w:rPr>
              <w:t>The individual consultant should have at least three years of experience as a translator</w:t>
            </w:r>
            <w:r w:rsidR="00EF49A4">
              <w:rPr>
                <w:rFonts w:asciiTheme="minorHAnsi" w:hAnsiTheme="minorHAnsi" w:cstheme="minorHAnsi"/>
                <w:sz w:val="20"/>
                <w:szCs w:val="20"/>
                <w:lang w:val="en-GB"/>
              </w:rPr>
              <w:t xml:space="preserve">. A university degree is a must along with the experience certificate/s </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21D" w:rsidRPr="00916EBE" w:rsidRDefault="0016321D" w:rsidP="00916EBE">
            <w:pPr>
              <w:pStyle w:val="BodyText"/>
              <w:jc w:val="center"/>
              <w:rPr>
                <w:rFonts w:asciiTheme="minorHAnsi" w:hAnsiTheme="minorHAnsi" w:cstheme="minorHAnsi"/>
                <w:sz w:val="20"/>
                <w:szCs w:val="20"/>
                <w:lang w:val="en-GB"/>
              </w:rPr>
            </w:pPr>
            <w:r w:rsidRPr="00916EBE">
              <w:rPr>
                <w:rFonts w:asciiTheme="minorHAnsi" w:hAnsiTheme="minorHAnsi" w:cstheme="minorHAnsi"/>
                <w:sz w:val="20"/>
                <w:szCs w:val="20"/>
                <w:lang w:val="en-GB"/>
              </w:rPr>
              <w:t>20</w:t>
            </w:r>
          </w:p>
        </w:tc>
      </w:tr>
      <w:tr w:rsidR="0016321D" w:rsidRPr="0016321D" w:rsidTr="00C51A2C">
        <w:trPr>
          <w:trHeight w:val="415"/>
        </w:trPr>
        <w:tc>
          <w:tcPr>
            <w:tcW w:w="8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21D" w:rsidRPr="00916EBE" w:rsidRDefault="0016321D" w:rsidP="0016321D">
            <w:pPr>
              <w:pStyle w:val="BodyText"/>
              <w:rPr>
                <w:rFonts w:asciiTheme="minorHAnsi" w:hAnsiTheme="minorHAnsi" w:cstheme="minorHAnsi"/>
                <w:sz w:val="20"/>
                <w:szCs w:val="20"/>
                <w:lang w:val="en-GB"/>
              </w:rPr>
            </w:pPr>
            <w:r w:rsidRPr="00916EBE">
              <w:rPr>
                <w:rFonts w:asciiTheme="minorHAnsi" w:hAnsiTheme="minorHAnsi" w:cstheme="minorHAnsi"/>
                <w:sz w:val="20"/>
                <w:szCs w:val="20"/>
                <w:lang w:val="en-GB"/>
              </w:rPr>
              <w:t xml:space="preserve">Secured the highest score in the ILO translation test (to be sent to those shortlisted only). </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21D" w:rsidRPr="00916EBE" w:rsidRDefault="0016321D" w:rsidP="00916EBE">
            <w:pPr>
              <w:pStyle w:val="BodyText"/>
              <w:jc w:val="center"/>
              <w:rPr>
                <w:rFonts w:asciiTheme="minorHAnsi" w:hAnsiTheme="minorHAnsi" w:cstheme="minorHAnsi"/>
                <w:sz w:val="20"/>
                <w:szCs w:val="20"/>
                <w:lang w:val="en-GB"/>
              </w:rPr>
            </w:pPr>
            <w:r w:rsidRPr="00916EBE">
              <w:rPr>
                <w:rFonts w:asciiTheme="minorHAnsi" w:hAnsiTheme="minorHAnsi" w:cstheme="minorHAnsi"/>
                <w:sz w:val="20"/>
                <w:szCs w:val="20"/>
                <w:lang w:val="en-GB"/>
              </w:rPr>
              <w:t>40</w:t>
            </w:r>
          </w:p>
        </w:tc>
      </w:tr>
      <w:tr w:rsidR="0016321D" w:rsidRPr="0016321D" w:rsidTr="00C51A2C">
        <w:trPr>
          <w:trHeight w:val="430"/>
        </w:trPr>
        <w:tc>
          <w:tcPr>
            <w:tcW w:w="8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21D" w:rsidRPr="00916EBE" w:rsidRDefault="0016321D" w:rsidP="0016321D">
            <w:pPr>
              <w:pStyle w:val="BodyText"/>
              <w:rPr>
                <w:rFonts w:asciiTheme="minorHAnsi" w:hAnsiTheme="minorHAnsi" w:cstheme="minorHAnsi"/>
                <w:sz w:val="20"/>
                <w:szCs w:val="20"/>
                <w:lang w:val="en-GB"/>
              </w:rPr>
            </w:pPr>
            <w:r w:rsidRPr="00916EBE">
              <w:rPr>
                <w:rFonts w:asciiTheme="minorHAnsi" w:hAnsiTheme="minorHAnsi" w:cstheme="minorHAnsi"/>
                <w:sz w:val="20"/>
                <w:szCs w:val="20"/>
                <w:lang w:val="en-GB"/>
              </w:rPr>
              <w:t>Translated for organisations similar to ILO is an asset.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21D" w:rsidRPr="00916EBE" w:rsidRDefault="0016321D" w:rsidP="00916EBE">
            <w:pPr>
              <w:pStyle w:val="BodyText"/>
              <w:jc w:val="center"/>
              <w:rPr>
                <w:rFonts w:asciiTheme="minorHAnsi" w:hAnsiTheme="minorHAnsi" w:cstheme="minorHAnsi"/>
                <w:sz w:val="20"/>
                <w:szCs w:val="20"/>
                <w:lang w:val="en-GB"/>
              </w:rPr>
            </w:pPr>
            <w:r w:rsidRPr="00916EBE">
              <w:rPr>
                <w:rFonts w:asciiTheme="minorHAnsi" w:hAnsiTheme="minorHAnsi" w:cstheme="minorHAnsi"/>
                <w:sz w:val="20"/>
                <w:szCs w:val="20"/>
                <w:lang w:val="en-GB"/>
              </w:rPr>
              <w:t>30</w:t>
            </w:r>
          </w:p>
        </w:tc>
      </w:tr>
      <w:tr w:rsidR="0016321D" w:rsidRPr="0016321D" w:rsidTr="00C51A2C">
        <w:trPr>
          <w:trHeight w:val="411"/>
        </w:trPr>
        <w:tc>
          <w:tcPr>
            <w:tcW w:w="8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21D" w:rsidRPr="00916EBE" w:rsidRDefault="0016321D" w:rsidP="0016321D">
            <w:pPr>
              <w:pStyle w:val="BodyText"/>
              <w:rPr>
                <w:rFonts w:asciiTheme="minorHAnsi" w:hAnsiTheme="minorHAnsi" w:cstheme="minorHAnsi"/>
                <w:sz w:val="20"/>
                <w:szCs w:val="20"/>
                <w:lang w:val="en-GB"/>
              </w:rPr>
            </w:pPr>
            <w:r w:rsidRPr="00916EBE">
              <w:rPr>
                <w:rFonts w:asciiTheme="minorHAnsi" w:hAnsiTheme="minorHAnsi" w:cstheme="minorHAnsi"/>
                <w:sz w:val="20"/>
                <w:szCs w:val="20"/>
                <w:lang w:val="en-GB"/>
              </w:rPr>
              <w:t>Fluency in English and Arabic is a must.</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21D" w:rsidRPr="00916EBE" w:rsidRDefault="0016321D" w:rsidP="00916EBE">
            <w:pPr>
              <w:pStyle w:val="BodyText"/>
              <w:jc w:val="center"/>
              <w:rPr>
                <w:rFonts w:asciiTheme="minorHAnsi" w:hAnsiTheme="minorHAnsi" w:cstheme="minorHAnsi"/>
                <w:sz w:val="20"/>
                <w:szCs w:val="20"/>
                <w:lang w:val="en-GB"/>
              </w:rPr>
            </w:pPr>
            <w:r w:rsidRPr="00916EBE">
              <w:rPr>
                <w:rFonts w:asciiTheme="minorHAnsi" w:hAnsiTheme="minorHAnsi" w:cstheme="minorHAnsi"/>
                <w:sz w:val="20"/>
                <w:szCs w:val="20"/>
                <w:lang w:val="en-GB"/>
              </w:rPr>
              <w:t>10</w:t>
            </w:r>
          </w:p>
        </w:tc>
      </w:tr>
      <w:tr w:rsidR="0016321D" w:rsidRPr="0016321D" w:rsidTr="00C51A2C">
        <w:trPr>
          <w:trHeight w:val="416"/>
        </w:trPr>
        <w:tc>
          <w:tcPr>
            <w:tcW w:w="8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21D" w:rsidRPr="00916EBE" w:rsidRDefault="0016321D" w:rsidP="0016321D">
            <w:pPr>
              <w:pStyle w:val="BodyText"/>
              <w:rPr>
                <w:rFonts w:asciiTheme="minorHAnsi" w:hAnsiTheme="minorHAnsi" w:cstheme="minorHAnsi"/>
                <w:b/>
                <w:bCs/>
                <w:sz w:val="20"/>
                <w:szCs w:val="20"/>
                <w:lang w:val="en-GB"/>
              </w:rPr>
            </w:pPr>
            <w:r w:rsidRPr="00916EBE">
              <w:rPr>
                <w:rFonts w:asciiTheme="minorHAnsi" w:hAnsiTheme="minorHAnsi" w:cstheme="minorHAnsi"/>
                <w:b/>
                <w:bCs/>
                <w:sz w:val="20"/>
                <w:szCs w:val="20"/>
                <w:lang w:val="en-GB"/>
              </w:rPr>
              <w:t>Maximum Points</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21D" w:rsidRPr="00916EBE" w:rsidRDefault="0016321D" w:rsidP="00916EBE">
            <w:pPr>
              <w:pStyle w:val="BodyText"/>
              <w:jc w:val="center"/>
              <w:rPr>
                <w:rFonts w:asciiTheme="minorHAnsi" w:hAnsiTheme="minorHAnsi" w:cstheme="minorHAnsi"/>
                <w:b/>
                <w:bCs/>
                <w:sz w:val="20"/>
                <w:szCs w:val="20"/>
                <w:lang w:val="en-GB"/>
              </w:rPr>
            </w:pPr>
            <w:r w:rsidRPr="00916EBE">
              <w:rPr>
                <w:rFonts w:asciiTheme="minorHAnsi" w:hAnsiTheme="minorHAnsi" w:cstheme="minorHAnsi"/>
                <w:b/>
                <w:bCs/>
                <w:sz w:val="20"/>
                <w:szCs w:val="20"/>
                <w:lang w:val="en-GB"/>
              </w:rPr>
              <w:t>100</w:t>
            </w:r>
          </w:p>
        </w:tc>
      </w:tr>
      <w:tr w:rsidR="0016321D" w:rsidRPr="0016321D" w:rsidTr="00C51A2C">
        <w:trPr>
          <w:trHeight w:val="415"/>
        </w:trPr>
        <w:tc>
          <w:tcPr>
            <w:tcW w:w="8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21D" w:rsidRPr="00916EBE" w:rsidRDefault="0016321D" w:rsidP="0016321D">
            <w:pPr>
              <w:pStyle w:val="BodyText"/>
              <w:rPr>
                <w:rFonts w:asciiTheme="minorHAnsi" w:hAnsiTheme="minorHAnsi" w:cstheme="minorHAnsi"/>
                <w:sz w:val="20"/>
                <w:szCs w:val="20"/>
                <w:lang w:val="en-GB"/>
              </w:rPr>
            </w:pPr>
            <w:r w:rsidRPr="00916EBE">
              <w:rPr>
                <w:rFonts w:asciiTheme="minorHAnsi" w:hAnsiTheme="minorHAnsi" w:cstheme="minorHAnsi"/>
                <w:sz w:val="20"/>
                <w:szCs w:val="20"/>
                <w:lang w:val="en-GB"/>
              </w:rPr>
              <w:t>Minimum Acceptable Score for the Proposal to be considered for financial evaluation.</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21D" w:rsidRPr="00916EBE" w:rsidRDefault="0016321D" w:rsidP="00916EBE">
            <w:pPr>
              <w:pStyle w:val="BodyText"/>
              <w:jc w:val="center"/>
              <w:rPr>
                <w:rFonts w:asciiTheme="minorHAnsi" w:hAnsiTheme="minorHAnsi" w:cstheme="minorHAnsi"/>
                <w:sz w:val="20"/>
                <w:szCs w:val="20"/>
                <w:lang w:val="en-GB"/>
              </w:rPr>
            </w:pPr>
            <w:r w:rsidRPr="00916EBE">
              <w:rPr>
                <w:rFonts w:asciiTheme="minorHAnsi" w:hAnsiTheme="minorHAnsi" w:cstheme="minorHAnsi"/>
                <w:sz w:val="20"/>
                <w:szCs w:val="20"/>
                <w:lang w:val="en-GB"/>
              </w:rPr>
              <w:t>50</w:t>
            </w:r>
          </w:p>
        </w:tc>
      </w:tr>
    </w:tbl>
    <w:p w:rsidR="0016321D" w:rsidRPr="0016321D" w:rsidRDefault="0016321D" w:rsidP="0016321D">
      <w:pPr>
        <w:pStyle w:val="BodyText"/>
        <w:rPr>
          <w:rFonts w:asciiTheme="minorHAnsi" w:hAnsiTheme="minorHAnsi" w:cstheme="minorHAnsi"/>
          <w:lang w:val="en-GB"/>
        </w:rPr>
      </w:pPr>
    </w:p>
    <w:p w:rsidR="0016321D" w:rsidRPr="0016321D" w:rsidRDefault="0016321D" w:rsidP="0016321D">
      <w:pPr>
        <w:pStyle w:val="BodyText"/>
        <w:rPr>
          <w:rFonts w:asciiTheme="minorHAnsi" w:hAnsiTheme="minorHAnsi" w:cstheme="minorHAnsi"/>
          <w:b/>
          <w:bCs/>
          <w:lang w:val="en-GB"/>
        </w:rPr>
      </w:pPr>
      <w:r w:rsidRPr="0016321D">
        <w:rPr>
          <w:rFonts w:asciiTheme="minorHAnsi" w:hAnsiTheme="minorHAnsi" w:cstheme="minorHAnsi"/>
          <w:b/>
          <w:bCs/>
          <w:lang w:val="en-GB"/>
        </w:rPr>
        <w:t>Note to Consultants:</w:t>
      </w:r>
    </w:p>
    <w:p w:rsidR="0016321D" w:rsidRPr="0016321D" w:rsidRDefault="0016321D" w:rsidP="00916EBE">
      <w:pPr>
        <w:pStyle w:val="BodyText"/>
        <w:numPr>
          <w:ilvl w:val="0"/>
          <w:numId w:val="32"/>
        </w:numPr>
        <w:rPr>
          <w:rFonts w:asciiTheme="minorHAnsi" w:hAnsiTheme="minorHAnsi" w:cstheme="minorHAnsi"/>
          <w:lang w:val="en-GB"/>
        </w:rPr>
      </w:pPr>
      <w:r w:rsidRPr="0016321D">
        <w:rPr>
          <w:rFonts w:asciiTheme="minorHAnsi" w:hAnsiTheme="minorHAnsi" w:cstheme="minorHAnsi"/>
          <w:lang w:val="en-GB"/>
        </w:rPr>
        <w:t>Only selected candidates will be contacted. If you haven’t heard from ILO in 3 months, that indicated you haven’t been selected.</w:t>
      </w:r>
    </w:p>
    <w:p w:rsidR="0016321D" w:rsidRPr="0016321D" w:rsidRDefault="0016321D" w:rsidP="00916EBE">
      <w:pPr>
        <w:pStyle w:val="BodyText"/>
        <w:numPr>
          <w:ilvl w:val="0"/>
          <w:numId w:val="32"/>
        </w:numPr>
        <w:rPr>
          <w:rFonts w:asciiTheme="minorHAnsi" w:hAnsiTheme="minorHAnsi" w:cstheme="minorHAnsi"/>
          <w:lang w:val="en-GB"/>
        </w:rPr>
      </w:pPr>
      <w:r w:rsidRPr="0016321D">
        <w:rPr>
          <w:rFonts w:asciiTheme="minorHAnsi" w:hAnsiTheme="minorHAnsi" w:cstheme="minorHAnsi"/>
          <w:lang w:val="en-GB"/>
        </w:rPr>
        <w:t>All CVs submitted should include the Date of Birth and Nationality of the Consultant;</w:t>
      </w:r>
    </w:p>
    <w:p w:rsidR="0016321D" w:rsidRPr="00A47F99" w:rsidRDefault="00A47F99" w:rsidP="00A47F99">
      <w:pPr>
        <w:pStyle w:val="BodyText"/>
        <w:numPr>
          <w:ilvl w:val="0"/>
          <w:numId w:val="32"/>
        </w:numPr>
        <w:rPr>
          <w:rFonts w:asciiTheme="minorHAnsi" w:hAnsiTheme="minorHAnsi" w:cstheme="minorHAnsi"/>
        </w:rPr>
      </w:pPr>
      <w:r>
        <w:rPr>
          <w:rFonts w:asciiTheme="minorHAnsi" w:hAnsiTheme="minorHAnsi" w:cstheme="minorHAnsi"/>
          <w:lang w:val="en-GB"/>
        </w:rPr>
        <w:t>The c</w:t>
      </w:r>
      <w:r w:rsidR="0016321D" w:rsidRPr="0016321D">
        <w:rPr>
          <w:rFonts w:asciiTheme="minorHAnsi" w:hAnsiTheme="minorHAnsi" w:cstheme="minorHAnsi"/>
          <w:lang w:val="en-GB"/>
        </w:rPr>
        <w:t xml:space="preserve">onsultant should quote in USD prices and/or using prices calculated </w:t>
      </w:r>
      <w:r>
        <w:rPr>
          <w:rFonts w:asciiTheme="minorHAnsi" w:hAnsiTheme="minorHAnsi" w:cstheme="minorHAnsi"/>
          <w:lang w:val="en-GB"/>
        </w:rPr>
        <w:t xml:space="preserve">based on </w:t>
      </w:r>
      <w:r w:rsidR="0016321D" w:rsidRPr="0016321D">
        <w:rPr>
          <w:rFonts w:asciiTheme="minorHAnsi" w:hAnsiTheme="minorHAnsi" w:cstheme="minorHAnsi"/>
          <w:lang w:val="en-GB"/>
        </w:rPr>
        <w:t>the Official UN Exchange Rates for the country;</w:t>
      </w:r>
      <w:r w:rsidR="00EF49A4">
        <w:rPr>
          <w:rFonts w:asciiTheme="minorHAnsi" w:hAnsiTheme="minorHAnsi" w:cstheme="minorHAnsi"/>
          <w:lang w:val="en-GB"/>
        </w:rPr>
        <w:t xml:space="preserve"> </w:t>
      </w:r>
      <w:r w:rsidRPr="00A47F99">
        <w:rPr>
          <w:rFonts w:asciiTheme="minorHAnsi" w:hAnsiTheme="minorHAnsi" w:cstheme="minorHAnsi"/>
        </w:rPr>
        <w:t xml:space="preserve">however, </w:t>
      </w:r>
      <w:r>
        <w:rPr>
          <w:rFonts w:asciiTheme="minorHAnsi" w:hAnsiTheme="minorHAnsi" w:cstheme="minorHAnsi"/>
        </w:rPr>
        <w:t xml:space="preserve">receiving the physical payment in </w:t>
      </w:r>
      <w:r w:rsidRPr="00A47F99">
        <w:rPr>
          <w:rFonts w:asciiTheme="minorHAnsi" w:hAnsiTheme="minorHAnsi" w:cstheme="minorHAnsi"/>
        </w:rPr>
        <w:t>USD</w:t>
      </w:r>
      <w:r>
        <w:rPr>
          <w:rFonts w:asciiTheme="minorHAnsi" w:hAnsiTheme="minorHAnsi" w:cstheme="minorHAnsi"/>
        </w:rPr>
        <w:t xml:space="preserve"> currency</w:t>
      </w:r>
      <w:r w:rsidR="007C0AB2">
        <w:rPr>
          <w:rFonts w:asciiTheme="minorHAnsi" w:hAnsiTheme="minorHAnsi" w:cstheme="minorHAnsi"/>
        </w:rPr>
        <w:t xml:space="preserve"> </w:t>
      </w:r>
      <w:r w:rsidRPr="00A47F99">
        <w:rPr>
          <w:rFonts w:asciiTheme="minorHAnsi" w:hAnsiTheme="minorHAnsi" w:cstheme="minorHAnsi"/>
        </w:rPr>
        <w:t>will be according to the Central Bank of Sudan’s regulation(s) at the time of payment”</w:t>
      </w:r>
    </w:p>
    <w:p w:rsidR="0016321D" w:rsidRPr="0016321D" w:rsidRDefault="0016321D" w:rsidP="00916EBE">
      <w:pPr>
        <w:pStyle w:val="BodyText"/>
        <w:numPr>
          <w:ilvl w:val="0"/>
          <w:numId w:val="32"/>
        </w:numPr>
        <w:rPr>
          <w:rFonts w:asciiTheme="minorHAnsi" w:hAnsiTheme="minorHAnsi" w:cstheme="minorHAnsi"/>
          <w:lang w:val="en-GB"/>
        </w:rPr>
      </w:pPr>
      <w:r w:rsidRPr="0016321D">
        <w:rPr>
          <w:rFonts w:asciiTheme="minorHAnsi" w:hAnsiTheme="minorHAnsi" w:cstheme="minorHAnsi"/>
          <w:lang w:val="en-GB"/>
        </w:rPr>
        <w:t>Candidates should be prepared to submit a copy of their national Passport upon Notification of Award;</w:t>
      </w:r>
    </w:p>
    <w:p w:rsidR="0016321D" w:rsidRPr="0016321D" w:rsidRDefault="0016321D" w:rsidP="00916EBE">
      <w:pPr>
        <w:pStyle w:val="BodyText"/>
        <w:numPr>
          <w:ilvl w:val="0"/>
          <w:numId w:val="32"/>
        </w:numPr>
        <w:rPr>
          <w:rFonts w:asciiTheme="minorHAnsi" w:hAnsiTheme="minorHAnsi" w:cstheme="minorHAnsi"/>
          <w:lang w:val="en-GB"/>
        </w:rPr>
      </w:pPr>
      <w:r w:rsidRPr="0016321D">
        <w:rPr>
          <w:rFonts w:asciiTheme="minorHAnsi" w:hAnsiTheme="minorHAnsi" w:cstheme="minorHAnsi"/>
          <w:lang w:val="en-GB"/>
        </w:rPr>
        <w:t>Professional Fees should include all costs associated with the Activity Deliverable;</w:t>
      </w:r>
    </w:p>
    <w:p w:rsidR="0016321D" w:rsidRPr="0016321D" w:rsidRDefault="0016321D" w:rsidP="00916EBE">
      <w:pPr>
        <w:pStyle w:val="BodyText"/>
        <w:numPr>
          <w:ilvl w:val="0"/>
          <w:numId w:val="32"/>
        </w:numPr>
        <w:rPr>
          <w:rFonts w:asciiTheme="minorHAnsi" w:hAnsiTheme="minorHAnsi" w:cstheme="minorHAnsi"/>
          <w:lang w:val="en-GB"/>
        </w:rPr>
      </w:pPr>
      <w:r w:rsidRPr="0016321D">
        <w:rPr>
          <w:rFonts w:asciiTheme="minorHAnsi" w:hAnsiTheme="minorHAnsi" w:cstheme="minorHAnsi"/>
          <w:lang w:val="en-GB"/>
        </w:rPr>
        <w:t>Consultants agree to be paid based upon compliance with U</w:t>
      </w:r>
      <w:bookmarkStart w:id="2" w:name="_GoBack"/>
      <w:bookmarkEnd w:id="2"/>
      <w:r w:rsidRPr="0016321D">
        <w:rPr>
          <w:rFonts w:asciiTheme="minorHAnsi" w:hAnsiTheme="minorHAnsi" w:cstheme="minorHAnsi"/>
          <w:lang w:val="en-GB"/>
        </w:rPr>
        <w:t>N Harmonized DSA rates set for the country;</w:t>
      </w:r>
    </w:p>
    <w:p w:rsidR="0016321D" w:rsidRPr="0016321D" w:rsidRDefault="0016321D" w:rsidP="00916EBE">
      <w:pPr>
        <w:pStyle w:val="BodyText"/>
        <w:numPr>
          <w:ilvl w:val="0"/>
          <w:numId w:val="32"/>
        </w:numPr>
        <w:rPr>
          <w:rFonts w:asciiTheme="minorHAnsi" w:hAnsiTheme="minorHAnsi" w:cstheme="minorHAnsi"/>
          <w:lang w:val="en-GB"/>
        </w:rPr>
      </w:pPr>
      <w:r w:rsidRPr="0016321D">
        <w:rPr>
          <w:rFonts w:asciiTheme="minorHAnsi" w:hAnsiTheme="minorHAnsi" w:cstheme="minorHAnsi"/>
          <w:lang w:val="en-GB"/>
        </w:rPr>
        <w:t>Consultants are not to add the VAT to their financial offer unless they are a VAT Registered Individual with the Sudanese VAT Authority;</w:t>
      </w:r>
    </w:p>
    <w:p w:rsidR="0016321D" w:rsidRPr="0016321D" w:rsidRDefault="0016321D" w:rsidP="00916EBE">
      <w:pPr>
        <w:pStyle w:val="BodyText"/>
        <w:numPr>
          <w:ilvl w:val="0"/>
          <w:numId w:val="32"/>
        </w:numPr>
        <w:rPr>
          <w:rFonts w:asciiTheme="minorHAnsi" w:hAnsiTheme="minorHAnsi" w:cstheme="minorHAnsi"/>
          <w:lang w:val="en-GB"/>
        </w:rPr>
      </w:pPr>
      <w:r w:rsidRPr="0016321D">
        <w:rPr>
          <w:rFonts w:asciiTheme="minorHAnsi" w:hAnsiTheme="minorHAnsi" w:cstheme="minorHAnsi"/>
          <w:lang w:val="en-GB"/>
        </w:rPr>
        <w:t>Consultants should be aware that all intellectual property rights arising from the contract are vested with the ILO however authorship will be acknowledged by the Organization; and</w:t>
      </w:r>
    </w:p>
    <w:p w:rsidR="0016321D" w:rsidRPr="0016321D" w:rsidRDefault="0016321D" w:rsidP="00916EBE">
      <w:pPr>
        <w:pStyle w:val="BodyText"/>
        <w:numPr>
          <w:ilvl w:val="0"/>
          <w:numId w:val="32"/>
        </w:numPr>
        <w:rPr>
          <w:rFonts w:asciiTheme="minorHAnsi" w:hAnsiTheme="minorHAnsi" w:cstheme="minorHAnsi"/>
          <w:lang w:val="en-GB"/>
        </w:rPr>
      </w:pPr>
      <w:r w:rsidRPr="0016321D">
        <w:rPr>
          <w:rFonts w:asciiTheme="minorHAnsi" w:hAnsiTheme="minorHAnsi" w:cstheme="minorHAnsi"/>
          <w:lang w:val="en-GB"/>
        </w:rPr>
        <w:t>Consultants will bear all charges levied by their own bank in receiving of managing funds transferred by ILO.</w:t>
      </w:r>
    </w:p>
    <w:p w:rsidR="0016321D" w:rsidRDefault="0016321D" w:rsidP="0016321D">
      <w:pPr>
        <w:pStyle w:val="BodyText"/>
        <w:rPr>
          <w:rFonts w:asciiTheme="minorHAnsi" w:hAnsiTheme="minorHAnsi" w:cstheme="minorHAnsi"/>
          <w:lang w:val="en-GB"/>
        </w:rPr>
      </w:pPr>
    </w:p>
    <w:p w:rsidR="00916EBE" w:rsidRPr="0016321D" w:rsidRDefault="00916EBE" w:rsidP="0016321D">
      <w:pPr>
        <w:pStyle w:val="BodyText"/>
        <w:rPr>
          <w:rFonts w:asciiTheme="minorHAnsi" w:hAnsiTheme="minorHAnsi" w:cstheme="minorHAnsi"/>
          <w:lang w:val="en-GB"/>
        </w:rPr>
      </w:pPr>
    </w:p>
    <w:p w:rsidR="0016321D" w:rsidRPr="0016321D" w:rsidRDefault="0016321D" w:rsidP="0016321D">
      <w:pPr>
        <w:pStyle w:val="Heading2"/>
        <w:keepNext w:val="0"/>
        <w:keepLines w:val="0"/>
        <w:widowControl w:val="0"/>
        <w:numPr>
          <w:ilvl w:val="0"/>
          <w:numId w:val="27"/>
        </w:numPr>
        <w:tabs>
          <w:tab w:val="left" w:pos="580"/>
        </w:tabs>
        <w:autoSpaceDE w:val="0"/>
        <w:autoSpaceDN w:val="0"/>
        <w:spacing w:before="0" w:line="240" w:lineRule="auto"/>
        <w:ind w:left="0" w:firstLine="0"/>
        <w:rPr>
          <w:rFonts w:asciiTheme="minorHAnsi" w:hAnsiTheme="minorHAnsi" w:cstheme="minorHAnsi"/>
          <w:sz w:val="22"/>
          <w:szCs w:val="22"/>
        </w:rPr>
      </w:pPr>
      <w:r w:rsidRPr="0016321D">
        <w:rPr>
          <w:rFonts w:asciiTheme="minorHAnsi" w:hAnsiTheme="minorHAnsi" w:cstheme="minorHAnsi"/>
          <w:w w:val="95"/>
          <w:sz w:val="22"/>
          <w:szCs w:val="22"/>
        </w:rPr>
        <w:t xml:space="preserve">PAYEMENT </w:t>
      </w:r>
      <w:r w:rsidR="00C51A2C">
        <w:rPr>
          <w:rFonts w:asciiTheme="minorHAnsi" w:hAnsiTheme="minorHAnsi" w:cstheme="minorHAnsi"/>
          <w:w w:val="95"/>
          <w:sz w:val="22"/>
          <w:szCs w:val="22"/>
        </w:rPr>
        <w:t>SCHEDULE</w:t>
      </w:r>
    </w:p>
    <w:p w:rsidR="0016321D" w:rsidRPr="0016321D" w:rsidRDefault="00916EBE" w:rsidP="00CC1626">
      <w:pPr>
        <w:pStyle w:val="BodyText"/>
        <w:tabs>
          <w:tab w:val="left" w:pos="0"/>
        </w:tabs>
        <w:rPr>
          <w:rFonts w:asciiTheme="minorHAnsi" w:hAnsiTheme="minorHAnsi" w:cstheme="minorHAnsi"/>
        </w:rPr>
      </w:pPr>
      <w:r>
        <w:rPr>
          <w:rFonts w:asciiTheme="minorHAnsi" w:hAnsiTheme="minorHAnsi" w:cstheme="minorHAnsi"/>
        </w:rPr>
        <w:t>1</w:t>
      </w:r>
      <w:r w:rsidRPr="00916EBE">
        <w:rPr>
          <w:rFonts w:asciiTheme="minorHAnsi" w:hAnsiTheme="minorHAnsi" w:cstheme="minorHAnsi"/>
          <w:vertAlign w:val="superscript"/>
        </w:rPr>
        <w:t>st</w:t>
      </w:r>
      <w:r>
        <w:rPr>
          <w:rFonts w:asciiTheme="minorHAnsi" w:hAnsiTheme="minorHAnsi" w:cstheme="minorHAnsi"/>
        </w:rPr>
        <w:t xml:space="preserve"> Payment: </w:t>
      </w:r>
      <w:r w:rsidR="0016321D" w:rsidRPr="0016321D">
        <w:rPr>
          <w:rFonts w:asciiTheme="minorHAnsi" w:hAnsiTheme="minorHAnsi" w:cstheme="minorHAnsi"/>
        </w:rPr>
        <w:t xml:space="preserve">Upon successful completion of 20% </w:t>
      </w:r>
      <w:r>
        <w:rPr>
          <w:rFonts w:asciiTheme="minorHAnsi" w:hAnsiTheme="minorHAnsi" w:cstheme="minorHAnsi"/>
        </w:rPr>
        <w:t>of the contract volume (10,000/50,000 words)</w:t>
      </w:r>
      <w:r w:rsidR="0016321D" w:rsidRPr="0016321D">
        <w:rPr>
          <w:rFonts w:asciiTheme="minorHAnsi" w:hAnsiTheme="minorHAnsi" w:cstheme="minorHAnsi"/>
        </w:rPr>
        <w:t xml:space="preserve"> to the satisfaction of the ILO at a </w:t>
      </w:r>
      <w:r>
        <w:rPr>
          <w:rFonts w:asciiTheme="minorHAnsi" w:hAnsiTheme="minorHAnsi" w:cstheme="minorHAnsi"/>
        </w:rPr>
        <w:t>mutually agreed deadline</w:t>
      </w:r>
      <w:r w:rsidR="00CC1626">
        <w:rPr>
          <w:rFonts w:asciiTheme="minorHAnsi" w:hAnsiTheme="minorHAnsi" w:cstheme="minorHAnsi"/>
        </w:rPr>
        <w:t>.</w:t>
      </w:r>
    </w:p>
    <w:p w:rsidR="0016321D" w:rsidRPr="0016321D" w:rsidRDefault="00916EBE" w:rsidP="00CC1626">
      <w:pPr>
        <w:pStyle w:val="BodyText"/>
        <w:tabs>
          <w:tab w:val="left" w:pos="0"/>
        </w:tabs>
        <w:rPr>
          <w:rFonts w:asciiTheme="minorHAnsi" w:hAnsiTheme="minorHAnsi" w:cstheme="minorHAnsi"/>
        </w:rPr>
      </w:pPr>
      <w:r>
        <w:rPr>
          <w:rFonts w:asciiTheme="minorHAnsi" w:hAnsiTheme="minorHAnsi" w:cstheme="minorHAnsi"/>
        </w:rPr>
        <w:t>2</w:t>
      </w:r>
      <w:r w:rsidRPr="00916EBE">
        <w:rPr>
          <w:rFonts w:asciiTheme="minorHAnsi" w:hAnsiTheme="minorHAnsi" w:cstheme="minorHAnsi"/>
          <w:vertAlign w:val="superscript"/>
        </w:rPr>
        <w:t>nd</w:t>
      </w:r>
      <w:r>
        <w:rPr>
          <w:rFonts w:asciiTheme="minorHAnsi" w:hAnsiTheme="minorHAnsi" w:cstheme="minorHAnsi"/>
        </w:rPr>
        <w:t xml:space="preserve"> Payment: Upon successful completion of 4</w:t>
      </w:r>
      <w:r w:rsidR="0016321D" w:rsidRPr="0016321D">
        <w:rPr>
          <w:rFonts w:asciiTheme="minorHAnsi" w:hAnsiTheme="minorHAnsi" w:cstheme="minorHAnsi"/>
        </w:rPr>
        <w:t>0% of the contract volume</w:t>
      </w:r>
      <w:r>
        <w:rPr>
          <w:rFonts w:asciiTheme="minorHAnsi" w:hAnsiTheme="minorHAnsi" w:cstheme="minorHAnsi"/>
        </w:rPr>
        <w:t xml:space="preserve"> (20,</w:t>
      </w:r>
      <w:r w:rsidR="0016321D" w:rsidRPr="0016321D">
        <w:rPr>
          <w:rFonts w:asciiTheme="minorHAnsi" w:hAnsiTheme="minorHAnsi" w:cstheme="minorHAnsi"/>
        </w:rPr>
        <w:t>000</w:t>
      </w:r>
      <w:r>
        <w:rPr>
          <w:rFonts w:asciiTheme="minorHAnsi" w:hAnsiTheme="minorHAnsi" w:cstheme="minorHAnsi"/>
        </w:rPr>
        <w:t>/50,000</w:t>
      </w:r>
      <w:r w:rsidR="0016321D" w:rsidRPr="0016321D">
        <w:rPr>
          <w:rFonts w:asciiTheme="minorHAnsi" w:hAnsiTheme="minorHAnsi" w:cstheme="minorHAnsi"/>
        </w:rPr>
        <w:t xml:space="preserve"> words</w:t>
      </w:r>
      <w:r>
        <w:rPr>
          <w:rFonts w:asciiTheme="minorHAnsi" w:hAnsiTheme="minorHAnsi" w:cstheme="minorHAnsi"/>
        </w:rPr>
        <w:t>)</w:t>
      </w:r>
      <w:r w:rsidR="0016321D" w:rsidRPr="0016321D">
        <w:rPr>
          <w:rFonts w:asciiTheme="minorHAnsi" w:hAnsiTheme="minorHAnsi" w:cstheme="minorHAnsi"/>
        </w:rPr>
        <w:t xml:space="preserve"> to the satisfaction of the ILO</w:t>
      </w:r>
      <w:r w:rsidR="00C51A2C">
        <w:rPr>
          <w:rFonts w:asciiTheme="minorHAnsi" w:hAnsiTheme="minorHAnsi" w:cstheme="minorHAnsi"/>
        </w:rPr>
        <w:t xml:space="preserve"> </w:t>
      </w:r>
      <w:r w:rsidR="0016321D" w:rsidRPr="0016321D">
        <w:rPr>
          <w:rFonts w:asciiTheme="minorHAnsi" w:hAnsiTheme="minorHAnsi" w:cstheme="minorHAnsi"/>
        </w:rPr>
        <w:t>at a mutually agreed deadline</w:t>
      </w:r>
      <w:r w:rsidR="00CC1626">
        <w:rPr>
          <w:rFonts w:asciiTheme="minorHAnsi" w:hAnsiTheme="minorHAnsi" w:cstheme="minorHAnsi"/>
        </w:rPr>
        <w:t>.</w:t>
      </w:r>
    </w:p>
    <w:p w:rsidR="0016321D" w:rsidRPr="0016321D" w:rsidRDefault="00C51A2C" w:rsidP="00CC1626">
      <w:pPr>
        <w:pStyle w:val="BodyText"/>
        <w:tabs>
          <w:tab w:val="left" w:pos="0"/>
        </w:tabs>
        <w:rPr>
          <w:rFonts w:asciiTheme="minorHAnsi" w:hAnsiTheme="minorHAnsi" w:cstheme="minorHAnsi"/>
        </w:rPr>
      </w:pPr>
      <w:r>
        <w:rPr>
          <w:rFonts w:asciiTheme="minorHAnsi" w:hAnsiTheme="minorHAnsi" w:cstheme="minorHAnsi"/>
        </w:rPr>
        <w:t>3</w:t>
      </w:r>
      <w:r w:rsidRPr="00C51A2C">
        <w:rPr>
          <w:rFonts w:asciiTheme="minorHAnsi" w:hAnsiTheme="minorHAnsi" w:cstheme="minorHAnsi"/>
          <w:vertAlign w:val="superscript"/>
        </w:rPr>
        <w:t>rd</w:t>
      </w:r>
      <w:r>
        <w:rPr>
          <w:rFonts w:asciiTheme="minorHAnsi" w:hAnsiTheme="minorHAnsi" w:cstheme="minorHAnsi"/>
        </w:rPr>
        <w:t xml:space="preserve"> Payment: Upon successful completion of 6</w:t>
      </w:r>
      <w:r w:rsidR="0016321D" w:rsidRPr="0016321D">
        <w:rPr>
          <w:rFonts w:asciiTheme="minorHAnsi" w:hAnsiTheme="minorHAnsi" w:cstheme="minorHAnsi"/>
        </w:rPr>
        <w:t xml:space="preserve">0% of the contract volume </w:t>
      </w:r>
      <w:r>
        <w:rPr>
          <w:rFonts w:asciiTheme="minorHAnsi" w:hAnsiTheme="minorHAnsi" w:cstheme="minorHAnsi"/>
        </w:rPr>
        <w:t>(30,000/50,000 words)</w:t>
      </w:r>
      <w:r w:rsidR="0016321D" w:rsidRPr="0016321D">
        <w:rPr>
          <w:rFonts w:asciiTheme="minorHAnsi" w:hAnsiTheme="minorHAnsi" w:cstheme="minorHAnsi"/>
        </w:rPr>
        <w:t xml:space="preserve"> to the satisfaction of the ILO at a mutually agreed deadline</w:t>
      </w:r>
      <w:r w:rsidR="00CC1626">
        <w:rPr>
          <w:rFonts w:asciiTheme="minorHAnsi" w:hAnsiTheme="minorHAnsi" w:cstheme="minorHAnsi"/>
        </w:rPr>
        <w:t>.</w:t>
      </w:r>
      <w:r w:rsidR="0016321D" w:rsidRPr="0016321D">
        <w:rPr>
          <w:rFonts w:asciiTheme="minorHAnsi" w:hAnsiTheme="minorHAnsi" w:cstheme="minorHAnsi"/>
        </w:rPr>
        <w:t xml:space="preserve"> </w:t>
      </w:r>
    </w:p>
    <w:p w:rsidR="0016321D" w:rsidRPr="0016321D" w:rsidRDefault="00C51A2C" w:rsidP="00CC1626">
      <w:pPr>
        <w:pStyle w:val="BodyText"/>
        <w:tabs>
          <w:tab w:val="left" w:pos="0"/>
        </w:tabs>
        <w:rPr>
          <w:rFonts w:asciiTheme="minorHAnsi" w:hAnsiTheme="minorHAnsi" w:cstheme="minorHAnsi"/>
        </w:rPr>
      </w:pPr>
      <w:r>
        <w:rPr>
          <w:rFonts w:asciiTheme="minorHAnsi" w:hAnsiTheme="minorHAnsi" w:cstheme="minorHAnsi"/>
        </w:rPr>
        <w:t>4</w:t>
      </w:r>
      <w:r w:rsidRPr="00C51A2C">
        <w:rPr>
          <w:rFonts w:asciiTheme="minorHAnsi" w:hAnsiTheme="minorHAnsi" w:cstheme="minorHAnsi"/>
          <w:vertAlign w:val="superscript"/>
        </w:rPr>
        <w:t>th</w:t>
      </w:r>
      <w:r>
        <w:rPr>
          <w:rFonts w:asciiTheme="minorHAnsi" w:hAnsiTheme="minorHAnsi" w:cstheme="minorHAnsi"/>
        </w:rPr>
        <w:t xml:space="preserve"> Payment: Upon successful completion of 8</w:t>
      </w:r>
      <w:r w:rsidR="0016321D" w:rsidRPr="0016321D">
        <w:rPr>
          <w:rFonts w:asciiTheme="minorHAnsi" w:hAnsiTheme="minorHAnsi" w:cstheme="minorHAnsi"/>
        </w:rPr>
        <w:t xml:space="preserve">0% of the contract volume </w:t>
      </w:r>
      <w:r>
        <w:rPr>
          <w:rFonts w:asciiTheme="minorHAnsi" w:hAnsiTheme="minorHAnsi" w:cstheme="minorHAnsi"/>
        </w:rPr>
        <w:t>(40,000/50,000</w:t>
      </w:r>
      <w:r w:rsidR="0016321D" w:rsidRPr="0016321D">
        <w:rPr>
          <w:rFonts w:asciiTheme="minorHAnsi" w:hAnsiTheme="minorHAnsi" w:cstheme="minorHAnsi"/>
        </w:rPr>
        <w:t xml:space="preserve"> words</w:t>
      </w:r>
      <w:r>
        <w:rPr>
          <w:rFonts w:asciiTheme="minorHAnsi" w:hAnsiTheme="minorHAnsi" w:cstheme="minorHAnsi"/>
        </w:rPr>
        <w:t>)</w:t>
      </w:r>
      <w:r w:rsidR="0016321D" w:rsidRPr="0016321D">
        <w:rPr>
          <w:rFonts w:asciiTheme="minorHAnsi" w:hAnsiTheme="minorHAnsi" w:cstheme="minorHAnsi"/>
        </w:rPr>
        <w:t xml:space="preserve"> to the satisfaction of the ILO</w:t>
      </w:r>
      <w:r>
        <w:rPr>
          <w:rFonts w:asciiTheme="minorHAnsi" w:hAnsiTheme="minorHAnsi" w:cstheme="minorHAnsi"/>
        </w:rPr>
        <w:t xml:space="preserve"> </w:t>
      </w:r>
      <w:r w:rsidR="0016321D" w:rsidRPr="0016321D">
        <w:rPr>
          <w:rFonts w:asciiTheme="minorHAnsi" w:hAnsiTheme="minorHAnsi" w:cstheme="minorHAnsi"/>
        </w:rPr>
        <w:t>at a mutually agreed deadline in 2021</w:t>
      </w:r>
      <w:r w:rsidR="00CC1626">
        <w:rPr>
          <w:rFonts w:asciiTheme="minorHAnsi" w:hAnsiTheme="minorHAnsi" w:cstheme="minorHAnsi"/>
        </w:rPr>
        <w:t>.</w:t>
      </w:r>
    </w:p>
    <w:p w:rsidR="0016321D" w:rsidRPr="0016321D" w:rsidRDefault="00C51A2C" w:rsidP="00CC1626">
      <w:pPr>
        <w:pStyle w:val="BodyText"/>
        <w:tabs>
          <w:tab w:val="left" w:pos="0"/>
        </w:tabs>
        <w:rPr>
          <w:rFonts w:asciiTheme="minorHAnsi" w:hAnsiTheme="minorHAnsi" w:cstheme="minorHAnsi"/>
        </w:rPr>
      </w:pPr>
      <w:r>
        <w:rPr>
          <w:rFonts w:asciiTheme="minorHAnsi" w:hAnsiTheme="minorHAnsi" w:cstheme="minorHAnsi"/>
        </w:rPr>
        <w:t>Final Payment: Upon successful completion of 10</w:t>
      </w:r>
      <w:r w:rsidR="0016321D" w:rsidRPr="0016321D">
        <w:rPr>
          <w:rFonts w:asciiTheme="minorHAnsi" w:hAnsiTheme="minorHAnsi" w:cstheme="minorHAnsi"/>
        </w:rPr>
        <w:t>0% of the contract volume</w:t>
      </w:r>
      <w:r>
        <w:rPr>
          <w:rFonts w:asciiTheme="minorHAnsi" w:hAnsiTheme="minorHAnsi" w:cstheme="minorHAnsi"/>
        </w:rPr>
        <w:t xml:space="preserve"> (50,000/50,000 words)</w:t>
      </w:r>
      <w:r w:rsidR="0016321D" w:rsidRPr="0016321D">
        <w:rPr>
          <w:rFonts w:asciiTheme="minorHAnsi" w:hAnsiTheme="minorHAnsi" w:cstheme="minorHAnsi"/>
        </w:rPr>
        <w:t xml:space="preserve"> to the satisfaction of the ILO</w:t>
      </w:r>
      <w:r>
        <w:rPr>
          <w:rFonts w:asciiTheme="minorHAnsi" w:hAnsiTheme="minorHAnsi" w:cstheme="minorHAnsi"/>
        </w:rPr>
        <w:t xml:space="preserve"> </w:t>
      </w:r>
      <w:r w:rsidR="0016321D" w:rsidRPr="0016321D">
        <w:rPr>
          <w:rFonts w:asciiTheme="minorHAnsi" w:hAnsiTheme="minorHAnsi" w:cstheme="minorHAnsi"/>
        </w:rPr>
        <w:t>at a mutually agreed deadline</w:t>
      </w:r>
      <w:r w:rsidR="00CC1626">
        <w:rPr>
          <w:rFonts w:asciiTheme="minorHAnsi" w:hAnsiTheme="minorHAnsi" w:cstheme="minorHAnsi"/>
        </w:rPr>
        <w:t>.</w:t>
      </w:r>
    </w:p>
    <w:p w:rsidR="0016321D" w:rsidRPr="0016321D" w:rsidRDefault="0016321D" w:rsidP="0016321D">
      <w:pPr>
        <w:pStyle w:val="BodyText"/>
        <w:rPr>
          <w:rFonts w:asciiTheme="minorHAnsi" w:hAnsiTheme="minorHAnsi" w:cstheme="minorHAnsi"/>
        </w:rPr>
      </w:pPr>
    </w:p>
    <w:p w:rsidR="0016321D" w:rsidRPr="0016321D" w:rsidRDefault="0016321D" w:rsidP="0016321D">
      <w:pPr>
        <w:pStyle w:val="BodyText"/>
        <w:rPr>
          <w:rFonts w:asciiTheme="minorHAnsi" w:hAnsiTheme="minorHAnsi" w:cstheme="minorHAnsi"/>
        </w:rPr>
      </w:pPr>
      <w:r w:rsidRPr="0016321D">
        <w:rPr>
          <w:rFonts w:asciiTheme="minorHAnsi" w:hAnsiTheme="minorHAnsi" w:cstheme="minorHAnsi"/>
        </w:rPr>
        <w:t>This contract will be amended upon reception of all final versions of the presentations. Word count to be determined prior to the time of signing. The word count of the document to be translated shall be the sole (basis for) remuneration and the proposal response table should include provision for any incidental expenses such as stenographic expenses, etc. incurred to complete the task.</w:t>
      </w:r>
    </w:p>
    <w:p w:rsidR="0016321D" w:rsidRPr="0016321D" w:rsidRDefault="0016321D" w:rsidP="0016321D">
      <w:pPr>
        <w:pStyle w:val="BodyText"/>
        <w:rPr>
          <w:rFonts w:asciiTheme="minorHAnsi" w:hAnsiTheme="minorHAnsi" w:cstheme="minorHAnsi"/>
        </w:rPr>
      </w:pPr>
    </w:p>
    <w:p w:rsidR="000756DB" w:rsidRPr="00905C9F" w:rsidRDefault="0016321D" w:rsidP="00F547BA">
      <w:pPr>
        <w:pStyle w:val="BodyText"/>
      </w:pPr>
      <w:r w:rsidRPr="0016321D">
        <w:rPr>
          <w:rFonts w:asciiTheme="minorHAnsi" w:hAnsiTheme="minorHAnsi" w:cstheme="minorHAnsi"/>
        </w:rPr>
        <w:t xml:space="preserve">The ILO will provide all the project documents and other related literature relevant to this task; the Organization will work to assist in coordination with relevant stakeholders, review progress of the work and provide feedback as necessary and ensure payment of agreed amounts, based on (based on submission and endorsement of requested translation). The external collaborator shall not in any circumstance be entitled to any payments other than those expressly provided above. The supplier </w:t>
      </w:r>
      <w:r w:rsidRPr="0016321D">
        <w:rPr>
          <w:rFonts w:asciiTheme="minorHAnsi" w:hAnsiTheme="minorHAnsi" w:cstheme="minorHAnsi"/>
        </w:rPr>
        <w:lastRenderedPageBreak/>
        <w:t xml:space="preserve">bears the charges of their own bank. </w:t>
      </w:r>
    </w:p>
    <w:sectPr w:rsidR="000756DB" w:rsidRPr="00905C9F" w:rsidSect="007529BF">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009" w:rsidRDefault="000E7009" w:rsidP="0066195C">
      <w:pPr>
        <w:spacing w:after="0" w:line="240" w:lineRule="auto"/>
      </w:pPr>
      <w:r>
        <w:separator/>
      </w:r>
    </w:p>
  </w:endnote>
  <w:endnote w:type="continuationSeparator" w:id="0">
    <w:p w:rsidR="000E7009" w:rsidRDefault="000E7009" w:rsidP="0066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009" w:rsidRDefault="000E7009" w:rsidP="0066195C">
      <w:pPr>
        <w:spacing w:after="0" w:line="240" w:lineRule="auto"/>
      </w:pPr>
      <w:r>
        <w:separator/>
      </w:r>
    </w:p>
  </w:footnote>
  <w:footnote w:type="continuationSeparator" w:id="0">
    <w:p w:rsidR="000E7009" w:rsidRDefault="000E7009" w:rsidP="00661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EAE"/>
    <w:multiLevelType w:val="hybridMultilevel"/>
    <w:tmpl w:val="BCAC96F0"/>
    <w:lvl w:ilvl="0" w:tplc="C7185A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12BEE"/>
    <w:multiLevelType w:val="hybridMultilevel"/>
    <w:tmpl w:val="24B8F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8C1B66"/>
    <w:multiLevelType w:val="hybridMultilevel"/>
    <w:tmpl w:val="65AE22C4"/>
    <w:lvl w:ilvl="0" w:tplc="05B8AD8C">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413EB"/>
    <w:multiLevelType w:val="hybridMultilevel"/>
    <w:tmpl w:val="9B28E652"/>
    <w:lvl w:ilvl="0" w:tplc="34645F72">
      <w:start w:val="2"/>
      <w:numFmt w:val="bullet"/>
      <w:lvlText w:val="-"/>
      <w:lvlJc w:val="left"/>
      <w:pPr>
        <w:ind w:left="720" w:hanging="360"/>
      </w:pPr>
      <w:rPr>
        <w:rFonts w:ascii="Noto Sans" w:eastAsiaTheme="minorHAnsi"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F5DCA"/>
    <w:multiLevelType w:val="hybridMultilevel"/>
    <w:tmpl w:val="D568A558"/>
    <w:lvl w:ilvl="0" w:tplc="4F56286A">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F524C"/>
    <w:multiLevelType w:val="hybridMultilevel"/>
    <w:tmpl w:val="6426982E"/>
    <w:lvl w:ilvl="0" w:tplc="A852D16C">
      <w:start w:val="1"/>
      <w:numFmt w:val="decimal"/>
      <w:lvlText w:val="%1."/>
      <w:lvlJc w:val="left"/>
      <w:pPr>
        <w:ind w:left="360" w:hanging="360"/>
      </w:pPr>
      <w:rPr>
        <w:rFonts w:asciiTheme="majorHAnsi" w:hAnsiTheme="majorHAnsi" w:cstheme="majorHAnsi"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221DA6"/>
    <w:multiLevelType w:val="hybridMultilevel"/>
    <w:tmpl w:val="2BB8B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B931A8"/>
    <w:multiLevelType w:val="hybridMultilevel"/>
    <w:tmpl w:val="874E3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DA495F"/>
    <w:multiLevelType w:val="hybridMultilevel"/>
    <w:tmpl w:val="17683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B75EC"/>
    <w:multiLevelType w:val="hybridMultilevel"/>
    <w:tmpl w:val="81F07524"/>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AA1C50"/>
    <w:multiLevelType w:val="hybridMultilevel"/>
    <w:tmpl w:val="B0DECBC4"/>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8E1B68"/>
    <w:multiLevelType w:val="hybridMultilevel"/>
    <w:tmpl w:val="C5F255DC"/>
    <w:lvl w:ilvl="0" w:tplc="815411F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1756B"/>
    <w:multiLevelType w:val="hybridMultilevel"/>
    <w:tmpl w:val="56C64CF2"/>
    <w:lvl w:ilvl="0" w:tplc="0809000F">
      <w:start w:val="1"/>
      <w:numFmt w:val="decimal"/>
      <w:lvlText w:val="%1."/>
      <w:lvlJc w:val="left"/>
      <w:pPr>
        <w:ind w:left="1800" w:hanging="360"/>
      </w:p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3" w15:restartNumberingAfterBreak="0">
    <w:nsid w:val="477E7204"/>
    <w:multiLevelType w:val="hybridMultilevel"/>
    <w:tmpl w:val="7CFAEC34"/>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7B5B0E"/>
    <w:multiLevelType w:val="hybridMultilevel"/>
    <w:tmpl w:val="D78A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17F54"/>
    <w:multiLevelType w:val="multilevel"/>
    <w:tmpl w:val="1E52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81FA3"/>
    <w:multiLevelType w:val="hybridMultilevel"/>
    <w:tmpl w:val="E750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B0383"/>
    <w:multiLevelType w:val="hybridMultilevel"/>
    <w:tmpl w:val="D66EEF7C"/>
    <w:lvl w:ilvl="0" w:tplc="106E99BE">
      <w:start w:val="1"/>
      <w:numFmt w:val="upperLetter"/>
      <w:lvlText w:val="%1."/>
      <w:lvlJc w:val="left"/>
      <w:pPr>
        <w:ind w:left="580" w:hanging="360"/>
      </w:pPr>
      <w:rPr>
        <w:rFonts w:ascii="Arial" w:eastAsia="Arial" w:hAnsi="Arial" w:cs="Arial" w:hint="default"/>
        <w:b/>
        <w:bCs/>
        <w:spacing w:val="-1"/>
        <w:w w:val="83"/>
        <w:sz w:val="20"/>
        <w:szCs w:val="20"/>
      </w:rPr>
    </w:lvl>
    <w:lvl w:ilvl="1" w:tplc="8E9C6220">
      <w:numFmt w:val="bullet"/>
      <w:lvlText w:val="•"/>
      <w:lvlJc w:val="left"/>
      <w:pPr>
        <w:ind w:left="940" w:hanging="361"/>
      </w:pPr>
      <w:rPr>
        <w:rFonts w:ascii="Arial" w:eastAsia="Arial" w:hAnsi="Arial" w:cs="Arial" w:hint="default"/>
        <w:w w:val="131"/>
        <w:sz w:val="22"/>
        <w:szCs w:val="22"/>
      </w:rPr>
    </w:lvl>
    <w:lvl w:ilvl="2" w:tplc="CD749184">
      <w:numFmt w:val="bullet"/>
      <w:lvlText w:val="•"/>
      <w:lvlJc w:val="left"/>
      <w:pPr>
        <w:ind w:left="1887" w:hanging="361"/>
      </w:pPr>
      <w:rPr>
        <w:rFonts w:hint="default"/>
      </w:rPr>
    </w:lvl>
    <w:lvl w:ilvl="3" w:tplc="15D87646">
      <w:numFmt w:val="bullet"/>
      <w:lvlText w:val="•"/>
      <w:lvlJc w:val="left"/>
      <w:pPr>
        <w:ind w:left="2834" w:hanging="361"/>
      </w:pPr>
      <w:rPr>
        <w:rFonts w:hint="default"/>
      </w:rPr>
    </w:lvl>
    <w:lvl w:ilvl="4" w:tplc="D6C0FC02">
      <w:numFmt w:val="bullet"/>
      <w:lvlText w:val="•"/>
      <w:lvlJc w:val="left"/>
      <w:pPr>
        <w:ind w:left="3782" w:hanging="361"/>
      </w:pPr>
      <w:rPr>
        <w:rFonts w:hint="default"/>
      </w:rPr>
    </w:lvl>
    <w:lvl w:ilvl="5" w:tplc="A2F877BE">
      <w:numFmt w:val="bullet"/>
      <w:lvlText w:val="•"/>
      <w:lvlJc w:val="left"/>
      <w:pPr>
        <w:ind w:left="4729" w:hanging="361"/>
      </w:pPr>
      <w:rPr>
        <w:rFonts w:hint="default"/>
      </w:rPr>
    </w:lvl>
    <w:lvl w:ilvl="6" w:tplc="1C681204">
      <w:numFmt w:val="bullet"/>
      <w:lvlText w:val="•"/>
      <w:lvlJc w:val="left"/>
      <w:pPr>
        <w:ind w:left="5676" w:hanging="361"/>
      </w:pPr>
      <w:rPr>
        <w:rFonts w:hint="default"/>
      </w:rPr>
    </w:lvl>
    <w:lvl w:ilvl="7" w:tplc="77CADB2C">
      <w:numFmt w:val="bullet"/>
      <w:lvlText w:val="•"/>
      <w:lvlJc w:val="left"/>
      <w:pPr>
        <w:ind w:left="6624" w:hanging="361"/>
      </w:pPr>
      <w:rPr>
        <w:rFonts w:hint="default"/>
      </w:rPr>
    </w:lvl>
    <w:lvl w:ilvl="8" w:tplc="E7FC2E9E">
      <w:numFmt w:val="bullet"/>
      <w:lvlText w:val="•"/>
      <w:lvlJc w:val="left"/>
      <w:pPr>
        <w:ind w:left="7571" w:hanging="361"/>
      </w:pPr>
      <w:rPr>
        <w:rFonts w:hint="default"/>
      </w:rPr>
    </w:lvl>
  </w:abstractNum>
  <w:abstractNum w:abstractNumId="18" w15:restartNumberingAfterBreak="0">
    <w:nsid w:val="4E9566F9"/>
    <w:multiLevelType w:val="hybridMultilevel"/>
    <w:tmpl w:val="74A2D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1029BA"/>
    <w:multiLevelType w:val="hybridMultilevel"/>
    <w:tmpl w:val="107E10D8"/>
    <w:lvl w:ilvl="0" w:tplc="294A724C">
      <w:start w:val="20"/>
      <w:numFmt w:val="bullet"/>
      <w:lvlText w:val="-"/>
      <w:lvlJc w:val="left"/>
      <w:pPr>
        <w:ind w:left="1080" w:hanging="360"/>
      </w:pPr>
      <w:rPr>
        <w:rFonts w:ascii="Calibri" w:eastAsia="Calibri" w:hAnsi="Calibri" w:cs="Arial" w:hint="default"/>
      </w:rPr>
    </w:lvl>
    <w:lvl w:ilvl="1" w:tplc="A6E2DEFC">
      <w:numFmt w:val="bullet"/>
      <w:lvlText w:val="•"/>
      <w:lvlJc w:val="left"/>
      <w:pPr>
        <w:ind w:left="2160" w:hanging="720"/>
      </w:pPr>
      <w:rPr>
        <w:rFonts w:ascii="Calibri" w:eastAsia="Calibri" w:hAnsi="Calibri" w:cs="Aria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53B80E9B"/>
    <w:multiLevelType w:val="hybridMultilevel"/>
    <w:tmpl w:val="16CA91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1B7291"/>
    <w:multiLevelType w:val="hybridMultilevel"/>
    <w:tmpl w:val="E07A5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4C1ED0"/>
    <w:multiLevelType w:val="hybridMultilevel"/>
    <w:tmpl w:val="8C2E66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5375C1"/>
    <w:multiLevelType w:val="hybridMultilevel"/>
    <w:tmpl w:val="644C160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5F23BF"/>
    <w:multiLevelType w:val="hybridMultilevel"/>
    <w:tmpl w:val="7DEEA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7848E8"/>
    <w:multiLevelType w:val="hybridMultilevel"/>
    <w:tmpl w:val="46B0193C"/>
    <w:lvl w:ilvl="0" w:tplc="D4102A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E0677F"/>
    <w:multiLevelType w:val="hybridMultilevel"/>
    <w:tmpl w:val="632864BA"/>
    <w:lvl w:ilvl="0" w:tplc="4F56286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000E89"/>
    <w:multiLevelType w:val="hybridMultilevel"/>
    <w:tmpl w:val="9CA4B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5241E9"/>
    <w:multiLevelType w:val="hybridMultilevel"/>
    <w:tmpl w:val="471A11DA"/>
    <w:lvl w:ilvl="0" w:tplc="4F56286A">
      <w:start w:val="1"/>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4"/>
  </w:num>
  <w:num w:numId="2">
    <w:abstractNumId w:val="2"/>
  </w:num>
  <w:num w:numId="3">
    <w:abstractNumId w:val="21"/>
  </w:num>
  <w:num w:numId="4">
    <w:abstractNumId w:val="4"/>
  </w:num>
  <w:num w:numId="5">
    <w:abstractNumId w:val="5"/>
  </w:num>
  <w:num w:numId="6">
    <w:abstractNumId w:val="26"/>
  </w:num>
  <w:num w:numId="7">
    <w:abstractNumId w:val="11"/>
  </w:num>
  <w:num w:numId="8">
    <w:abstractNumId w:val="0"/>
  </w:num>
  <w:num w:numId="9">
    <w:abstractNumId w:val="28"/>
  </w:num>
  <w:num w:numId="10">
    <w:abstractNumId w:val="25"/>
  </w:num>
  <w:num w:numId="11">
    <w:abstractNumId w:val="8"/>
  </w:num>
  <w:num w:numId="12">
    <w:abstractNumId w:val="3"/>
  </w:num>
  <w:num w:numId="13">
    <w:abstractNumId w:val="23"/>
  </w:num>
  <w:num w:numId="14">
    <w:abstractNumId w:val="1"/>
  </w:num>
  <w:num w:numId="15">
    <w:abstractNumId w:val="18"/>
  </w:num>
  <w:num w:numId="16">
    <w:abstractNumId w:val="22"/>
  </w:num>
  <w:num w:numId="17">
    <w:abstractNumId w:val="20"/>
  </w:num>
  <w:num w:numId="18">
    <w:abstractNumId w:val="9"/>
  </w:num>
  <w:num w:numId="19">
    <w:abstractNumId w:val="10"/>
  </w:num>
  <w:num w:numId="20">
    <w:abstractNumId w:val="14"/>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19"/>
  </w:num>
  <w:num w:numId="23">
    <w:abstractNumId w:val="13"/>
  </w:num>
  <w:num w:numId="24">
    <w:abstractNumId w:val="27"/>
  </w:num>
  <w:num w:numId="25">
    <w:abstractNumId w:val="15"/>
  </w:num>
  <w:num w:numId="26">
    <w:abstractNumId w:val="7"/>
  </w:num>
  <w:num w:numId="27">
    <w:abstractNumId w:val="17"/>
  </w:num>
  <w:num w:numId="28">
    <w:abstractNumId w:val="16"/>
  </w:num>
  <w:num w:numId="29">
    <w:abstractNumId w:val="12"/>
    <w:lvlOverride w:ilvl="0">
      <w:startOverride w:val="1"/>
    </w:lvlOverride>
    <w:lvlOverride w:ilvl="1"/>
    <w:lvlOverride w:ilvl="2"/>
    <w:lvlOverride w:ilvl="3"/>
    <w:lvlOverride w:ilvl="4"/>
    <w:lvlOverride w:ilvl="5"/>
    <w:lvlOverride w:ilvl="6"/>
    <w:lvlOverride w:ilvl="7"/>
    <w:lvlOverride w:ilvl="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A8"/>
    <w:rsid w:val="0004067F"/>
    <w:rsid w:val="000467BC"/>
    <w:rsid w:val="000756DB"/>
    <w:rsid w:val="00084B3D"/>
    <w:rsid w:val="000E7009"/>
    <w:rsid w:val="001007A0"/>
    <w:rsid w:val="00115259"/>
    <w:rsid w:val="00117F71"/>
    <w:rsid w:val="00133B3C"/>
    <w:rsid w:val="001416FF"/>
    <w:rsid w:val="00147634"/>
    <w:rsid w:val="00157CF7"/>
    <w:rsid w:val="0016321D"/>
    <w:rsid w:val="0017037B"/>
    <w:rsid w:val="001753C7"/>
    <w:rsid w:val="001970F4"/>
    <w:rsid w:val="001A2D3B"/>
    <w:rsid w:val="001A4B66"/>
    <w:rsid w:val="001F7634"/>
    <w:rsid w:val="002477BB"/>
    <w:rsid w:val="002553AC"/>
    <w:rsid w:val="002616A3"/>
    <w:rsid w:val="00277252"/>
    <w:rsid w:val="0028242C"/>
    <w:rsid w:val="00285DB0"/>
    <w:rsid w:val="00292539"/>
    <w:rsid w:val="002A00CE"/>
    <w:rsid w:val="002B77AB"/>
    <w:rsid w:val="002C25EC"/>
    <w:rsid w:val="002D3DD0"/>
    <w:rsid w:val="00306A5B"/>
    <w:rsid w:val="00335B64"/>
    <w:rsid w:val="00351A15"/>
    <w:rsid w:val="00370E6A"/>
    <w:rsid w:val="00384427"/>
    <w:rsid w:val="00385AD5"/>
    <w:rsid w:val="003B2D25"/>
    <w:rsid w:val="003C5FA5"/>
    <w:rsid w:val="003D3772"/>
    <w:rsid w:val="003D3BF8"/>
    <w:rsid w:val="003D4AE5"/>
    <w:rsid w:val="00404BC9"/>
    <w:rsid w:val="00435E17"/>
    <w:rsid w:val="00450EBC"/>
    <w:rsid w:val="00457FA5"/>
    <w:rsid w:val="00466232"/>
    <w:rsid w:val="00470EA4"/>
    <w:rsid w:val="004A6BC4"/>
    <w:rsid w:val="004A6EE6"/>
    <w:rsid w:val="004F3A5E"/>
    <w:rsid w:val="00507865"/>
    <w:rsid w:val="0051655E"/>
    <w:rsid w:val="005466AF"/>
    <w:rsid w:val="005733CF"/>
    <w:rsid w:val="00590DFC"/>
    <w:rsid w:val="005C14E4"/>
    <w:rsid w:val="005C68F4"/>
    <w:rsid w:val="006046E1"/>
    <w:rsid w:val="00607F67"/>
    <w:rsid w:val="00611F6D"/>
    <w:rsid w:val="00654686"/>
    <w:rsid w:val="0066195C"/>
    <w:rsid w:val="006A05A6"/>
    <w:rsid w:val="006A36D2"/>
    <w:rsid w:val="006C71F1"/>
    <w:rsid w:val="006C7CC9"/>
    <w:rsid w:val="00714088"/>
    <w:rsid w:val="00720211"/>
    <w:rsid w:val="0072606C"/>
    <w:rsid w:val="007529BF"/>
    <w:rsid w:val="00777105"/>
    <w:rsid w:val="007906F3"/>
    <w:rsid w:val="00797208"/>
    <w:rsid w:val="007C0AB2"/>
    <w:rsid w:val="007C4D4E"/>
    <w:rsid w:val="007C5B36"/>
    <w:rsid w:val="007D7BA3"/>
    <w:rsid w:val="007F0266"/>
    <w:rsid w:val="00831990"/>
    <w:rsid w:val="008412A8"/>
    <w:rsid w:val="0085793E"/>
    <w:rsid w:val="008606ED"/>
    <w:rsid w:val="008C4DB8"/>
    <w:rsid w:val="008D68AE"/>
    <w:rsid w:val="008E7832"/>
    <w:rsid w:val="008F73CA"/>
    <w:rsid w:val="00900DE6"/>
    <w:rsid w:val="00905C9F"/>
    <w:rsid w:val="00916EBE"/>
    <w:rsid w:val="00921233"/>
    <w:rsid w:val="00934838"/>
    <w:rsid w:val="009516C4"/>
    <w:rsid w:val="009621D9"/>
    <w:rsid w:val="009A20F3"/>
    <w:rsid w:val="009A39C5"/>
    <w:rsid w:val="009A4CCC"/>
    <w:rsid w:val="009B310B"/>
    <w:rsid w:val="009C2785"/>
    <w:rsid w:val="009C3AB6"/>
    <w:rsid w:val="009E4CB5"/>
    <w:rsid w:val="009E7537"/>
    <w:rsid w:val="00A30AC0"/>
    <w:rsid w:val="00A33127"/>
    <w:rsid w:val="00A36F51"/>
    <w:rsid w:val="00A467D9"/>
    <w:rsid w:val="00A47F99"/>
    <w:rsid w:val="00A76583"/>
    <w:rsid w:val="00A80EE8"/>
    <w:rsid w:val="00AA2388"/>
    <w:rsid w:val="00AC51E1"/>
    <w:rsid w:val="00AC6A33"/>
    <w:rsid w:val="00AF4C00"/>
    <w:rsid w:val="00B10EC9"/>
    <w:rsid w:val="00B13528"/>
    <w:rsid w:val="00B270D0"/>
    <w:rsid w:val="00B31128"/>
    <w:rsid w:val="00B44B17"/>
    <w:rsid w:val="00B8119D"/>
    <w:rsid w:val="00B835AC"/>
    <w:rsid w:val="00B96B6B"/>
    <w:rsid w:val="00BB1A23"/>
    <w:rsid w:val="00BD08E9"/>
    <w:rsid w:val="00BD3E4E"/>
    <w:rsid w:val="00BF3BB1"/>
    <w:rsid w:val="00C111D7"/>
    <w:rsid w:val="00C21FF0"/>
    <w:rsid w:val="00C44D58"/>
    <w:rsid w:val="00C51A2C"/>
    <w:rsid w:val="00C93857"/>
    <w:rsid w:val="00CA70CE"/>
    <w:rsid w:val="00CB6186"/>
    <w:rsid w:val="00CC15C2"/>
    <w:rsid w:val="00CC1626"/>
    <w:rsid w:val="00CC1799"/>
    <w:rsid w:val="00D16F06"/>
    <w:rsid w:val="00D277F1"/>
    <w:rsid w:val="00D30E7B"/>
    <w:rsid w:val="00D36692"/>
    <w:rsid w:val="00D96E5B"/>
    <w:rsid w:val="00DB1AC7"/>
    <w:rsid w:val="00DD0BCA"/>
    <w:rsid w:val="00DD79D8"/>
    <w:rsid w:val="00DE7A18"/>
    <w:rsid w:val="00DF1218"/>
    <w:rsid w:val="00DF532F"/>
    <w:rsid w:val="00E0271D"/>
    <w:rsid w:val="00E04694"/>
    <w:rsid w:val="00E67D37"/>
    <w:rsid w:val="00E812A0"/>
    <w:rsid w:val="00E9442F"/>
    <w:rsid w:val="00EA5834"/>
    <w:rsid w:val="00EC729A"/>
    <w:rsid w:val="00ED3459"/>
    <w:rsid w:val="00EE5A7B"/>
    <w:rsid w:val="00EF49A4"/>
    <w:rsid w:val="00F030DB"/>
    <w:rsid w:val="00F14959"/>
    <w:rsid w:val="00F24BBB"/>
    <w:rsid w:val="00F3243D"/>
    <w:rsid w:val="00F547BA"/>
    <w:rsid w:val="00F75136"/>
    <w:rsid w:val="00F75F68"/>
    <w:rsid w:val="00F93138"/>
    <w:rsid w:val="00F93498"/>
    <w:rsid w:val="00FB62E6"/>
    <w:rsid w:val="00FC0BED"/>
    <w:rsid w:val="00FE36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4C3D"/>
  <w15:chartTrackingRefBased/>
  <w15:docId w15:val="{E6CCCDFF-33B0-4B98-99AA-1025D36C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12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12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2A8"/>
    <w:rPr>
      <w:rFonts w:asciiTheme="majorHAnsi" w:eastAsiaTheme="majorEastAsia" w:hAnsiTheme="majorHAnsi" w:cstheme="majorBidi"/>
      <w:color w:val="2E74B5" w:themeColor="accent1" w:themeShade="BF"/>
      <w:sz w:val="32"/>
      <w:szCs w:val="32"/>
    </w:rPr>
  </w:style>
  <w:style w:type="paragraph" w:styleId="ListParagraph">
    <w:name w:val="List Paragraph"/>
    <w:aliases w:val="Recommendation,List Paragraph1,List Paragraph11,L"/>
    <w:basedOn w:val="Normal"/>
    <w:link w:val="ListParagraphChar"/>
    <w:uiPriority w:val="34"/>
    <w:qFormat/>
    <w:rsid w:val="008412A8"/>
    <w:pPr>
      <w:ind w:left="720"/>
      <w:contextualSpacing/>
    </w:pPr>
  </w:style>
  <w:style w:type="character" w:customStyle="1" w:styleId="Heading2Char">
    <w:name w:val="Heading 2 Char"/>
    <w:basedOn w:val="DefaultParagraphFont"/>
    <w:link w:val="Heading2"/>
    <w:uiPriority w:val="9"/>
    <w:rsid w:val="008412A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C4DB8"/>
    <w:rPr>
      <w:color w:val="0563C1" w:themeColor="hyperlink"/>
      <w:u w:val="single"/>
    </w:rPr>
  </w:style>
  <w:style w:type="paragraph" w:styleId="FootnoteText">
    <w:name w:val="footnote text"/>
    <w:basedOn w:val="Normal"/>
    <w:link w:val="FootnoteTextChar"/>
    <w:uiPriority w:val="99"/>
    <w:semiHidden/>
    <w:unhideWhenUsed/>
    <w:rsid w:val="006619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95C"/>
    <w:rPr>
      <w:sz w:val="20"/>
      <w:szCs w:val="20"/>
    </w:rPr>
  </w:style>
  <w:style w:type="character" w:styleId="FootnoteReference">
    <w:name w:val="footnote reference"/>
    <w:basedOn w:val="DefaultParagraphFont"/>
    <w:uiPriority w:val="99"/>
    <w:semiHidden/>
    <w:unhideWhenUsed/>
    <w:rsid w:val="0066195C"/>
    <w:rPr>
      <w:vertAlign w:val="superscript"/>
    </w:rPr>
  </w:style>
  <w:style w:type="table" w:styleId="TableGrid">
    <w:name w:val="Table Grid"/>
    <w:basedOn w:val="TableNormal"/>
    <w:uiPriority w:val="39"/>
    <w:rsid w:val="003B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408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477BB"/>
    <w:rPr>
      <w:sz w:val="16"/>
      <w:szCs w:val="16"/>
    </w:rPr>
  </w:style>
  <w:style w:type="paragraph" w:styleId="CommentText">
    <w:name w:val="annotation text"/>
    <w:basedOn w:val="Normal"/>
    <w:link w:val="CommentTextChar"/>
    <w:uiPriority w:val="99"/>
    <w:semiHidden/>
    <w:unhideWhenUsed/>
    <w:rsid w:val="002477BB"/>
    <w:pPr>
      <w:spacing w:line="240" w:lineRule="auto"/>
    </w:pPr>
    <w:rPr>
      <w:sz w:val="20"/>
      <w:szCs w:val="20"/>
    </w:rPr>
  </w:style>
  <w:style w:type="character" w:customStyle="1" w:styleId="CommentTextChar">
    <w:name w:val="Comment Text Char"/>
    <w:basedOn w:val="DefaultParagraphFont"/>
    <w:link w:val="CommentText"/>
    <w:uiPriority w:val="99"/>
    <w:semiHidden/>
    <w:rsid w:val="002477BB"/>
    <w:rPr>
      <w:sz w:val="20"/>
      <w:szCs w:val="20"/>
    </w:rPr>
  </w:style>
  <w:style w:type="paragraph" w:styleId="CommentSubject">
    <w:name w:val="annotation subject"/>
    <w:basedOn w:val="CommentText"/>
    <w:next w:val="CommentText"/>
    <w:link w:val="CommentSubjectChar"/>
    <w:uiPriority w:val="99"/>
    <w:semiHidden/>
    <w:unhideWhenUsed/>
    <w:rsid w:val="002477BB"/>
    <w:rPr>
      <w:b/>
      <w:bCs/>
    </w:rPr>
  </w:style>
  <w:style w:type="character" w:customStyle="1" w:styleId="CommentSubjectChar">
    <w:name w:val="Comment Subject Char"/>
    <w:basedOn w:val="CommentTextChar"/>
    <w:link w:val="CommentSubject"/>
    <w:uiPriority w:val="99"/>
    <w:semiHidden/>
    <w:rsid w:val="002477BB"/>
    <w:rPr>
      <w:b/>
      <w:bCs/>
      <w:sz w:val="20"/>
      <w:szCs w:val="20"/>
    </w:rPr>
  </w:style>
  <w:style w:type="paragraph" w:styleId="BalloonText">
    <w:name w:val="Balloon Text"/>
    <w:basedOn w:val="Normal"/>
    <w:link w:val="BalloonTextChar"/>
    <w:uiPriority w:val="99"/>
    <w:semiHidden/>
    <w:unhideWhenUsed/>
    <w:rsid w:val="002477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7BB"/>
    <w:rPr>
      <w:rFonts w:ascii="Segoe UI" w:hAnsi="Segoe UI" w:cs="Segoe UI"/>
      <w:sz w:val="18"/>
      <w:szCs w:val="18"/>
    </w:rPr>
  </w:style>
  <w:style w:type="character" w:customStyle="1" w:styleId="ListParagraphChar">
    <w:name w:val="List Paragraph Char"/>
    <w:aliases w:val="Recommendation Char,List Paragraph1 Char,List Paragraph11 Char,L Char"/>
    <w:basedOn w:val="DefaultParagraphFont"/>
    <w:link w:val="ListParagraph"/>
    <w:uiPriority w:val="34"/>
    <w:locked/>
    <w:rsid w:val="00CC15C2"/>
  </w:style>
  <w:style w:type="paragraph" w:styleId="BodyText">
    <w:name w:val="Body Text"/>
    <w:basedOn w:val="Normal"/>
    <w:link w:val="BodyTextChar"/>
    <w:uiPriority w:val="1"/>
    <w:qFormat/>
    <w:rsid w:val="0016321D"/>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16321D"/>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02600">
      <w:bodyDiv w:val="1"/>
      <w:marLeft w:val="0"/>
      <w:marRight w:val="0"/>
      <w:marTop w:val="0"/>
      <w:marBottom w:val="0"/>
      <w:divBdr>
        <w:top w:val="none" w:sz="0" w:space="0" w:color="auto"/>
        <w:left w:val="none" w:sz="0" w:space="0" w:color="auto"/>
        <w:bottom w:val="none" w:sz="0" w:space="0" w:color="auto"/>
        <w:right w:val="none" w:sz="0" w:space="0" w:color="auto"/>
      </w:divBdr>
    </w:div>
    <w:div w:id="725764409">
      <w:bodyDiv w:val="1"/>
      <w:marLeft w:val="0"/>
      <w:marRight w:val="0"/>
      <w:marTop w:val="0"/>
      <w:marBottom w:val="0"/>
      <w:divBdr>
        <w:top w:val="none" w:sz="0" w:space="0" w:color="auto"/>
        <w:left w:val="none" w:sz="0" w:space="0" w:color="auto"/>
        <w:bottom w:val="none" w:sz="0" w:space="0" w:color="auto"/>
        <w:right w:val="none" w:sz="0" w:space="0" w:color="auto"/>
      </w:divBdr>
    </w:div>
    <w:div w:id="1562864780">
      <w:bodyDiv w:val="1"/>
      <w:marLeft w:val="0"/>
      <w:marRight w:val="0"/>
      <w:marTop w:val="0"/>
      <w:marBottom w:val="0"/>
      <w:divBdr>
        <w:top w:val="none" w:sz="0" w:space="0" w:color="auto"/>
        <w:left w:val="none" w:sz="0" w:space="0" w:color="auto"/>
        <w:bottom w:val="none" w:sz="0" w:space="0" w:color="auto"/>
        <w:right w:val="none" w:sz="0" w:space="0" w:color="auto"/>
      </w:divBdr>
    </w:div>
    <w:div w:id="1665739488">
      <w:bodyDiv w:val="1"/>
      <w:marLeft w:val="0"/>
      <w:marRight w:val="0"/>
      <w:marTop w:val="0"/>
      <w:marBottom w:val="0"/>
      <w:divBdr>
        <w:top w:val="none" w:sz="0" w:space="0" w:color="auto"/>
        <w:left w:val="none" w:sz="0" w:space="0" w:color="auto"/>
        <w:bottom w:val="none" w:sz="0" w:space="0" w:color="auto"/>
        <w:right w:val="none" w:sz="0" w:space="0" w:color="auto"/>
      </w:divBdr>
    </w:div>
    <w:div w:id="18410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DIS_PROCUREMENT@ilo.org" TargetMode="External"/><Relationship Id="rId4" Type="http://schemas.openxmlformats.org/officeDocument/2006/relationships/settings" Target="settings.xml"/><Relationship Id="rId9" Type="http://schemas.openxmlformats.org/officeDocument/2006/relationships/hyperlink" Target="mailto:patersond@i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7ADE-125F-44D9-A248-FA9D6C05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Kirsch, Helen</dc:creator>
  <cp:keywords/>
  <dc:description/>
  <cp:lastModifiedBy>Ahmed, Abdelmonaim Abdelmageed Gesmelseed</cp:lastModifiedBy>
  <cp:revision>3</cp:revision>
  <cp:lastPrinted>2021-06-06T09:22:00Z</cp:lastPrinted>
  <dcterms:created xsi:type="dcterms:W3CDTF">2021-08-18T10:23:00Z</dcterms:created>
  <dcterms:modified xsi:type="dcterms:W3CDTF">2021-08-18T10:28:00Z</dcterms:modified>
</cp:coreProperties>
</file>