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CC99D" w14:textId="453F5473" w:rsidR="004B7931" w:rsidRDefault="00311DC5">
      <w:pPr>
        <w:spacing w:before="160" w:after="80"/>
      </w:pPr>
      <w:r>
        <w:rPr>
          <w:noProof/>
        </w:rPr>
        <w:drawing>
          <wp:inline distT="0" distB="0" distL="0" distR="0" wp14:anchorId="29979918" wp14:editId="2C936FC4">
            <wp:extent cx="1005388" cy="1032933"/>
            <wp:effectExtent l="0" t="0" r="0" b="0"/>
            <wp:docPr id="15945510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551018" name="Picture 1594551018"/>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13814" cy="1041590"/>
                    </a:xfrm>
                    <a:prstGeom prst="rect">
                      <a:avLst/>
                    </a:prstGeom>
                  </pic:spPr>
                </pic:pic>
              </a:graphicData>
            </a:graphic>
          </wp:inline>
        </w:drawing>
      </w:r>
    </w:p>
    <w:p w14:paraId="4BBF644D" w14:textId="77777777" w:rsidR="004B7931" w:rsidRPr="00311DC5" w:rsidRDefault="00000000">
      <w:pPr>
        <w:spacing w:after="60"/>
        <w:jc w:val="center"/>
        <w:rPr>
          <w:color w:val="007B62"/>
        </w:rPr>
      </w:pPr>
      <w:r w:rsidRPr="00311DC5">
        <w:rPr>
          <w:b/>
          <w:bCs/>
          <w:color w:val="007B62"/>
          <w:sz w:val="72"/>
          <w:szCs w:val="72"/>
        </w:rPr>
        <w:t>ADRA SUDAN</w:t>
      </w:r>
    </w:p>
    <w:p w14:paraId="73AB3A0B" w14:textId="01487800" w:rsidR="004B7931" w:rsidRDefault="004B7931">
      <w:pPr>
        <w:spacing w:before="100" w:after="100"/>
      </w:pPr>
    </w:p>
    <w:p w14:paraId="0ADEA4B8" w14:textId="77777777" w:rsidR="004B7931" w:rsidRDefault="004B7931">
      <w:pPr>
        <w:pBdr>
          <w:top w:val="single" w:sz="8" w:space="1" w:color="C0282F"/>
          <w:bottom w:val="single" w:sz="8" w:space="1" w:color="C0282F"/>
        </w:pBdr>
        <w:jc w:val="center"/>
      </w:pPr>
    </w:p>
    <w:p w14:paraId="1A61EFE7" w14:textId="77777777" w:rsidR="004B7931" w:rsidRDefault="004B7931">
      <w:pPr>
        <w:spacing w:before="60" w:after="60"/>
      </w:pPr>
    </w:p>
    <w:p w14:paraId="3A3D2837" w14:textId="77777777" w:rsidR="004B7931" w:rsidRPr="00311DC5" w:rsidRDefault="00000000">
      <w:pPr>
        <w:spacing w:after="40"/>
        <w:jc w:val="center"/>
        <w:rPr>
          <w:color w:val="007B62"/>
        </w:rPr>
      </w:pPr>
      <w:r w:rsidRPr="00311DC5">
        <w:rPr>
          <w:b/>
          <w:bCs/>
          <w:color w:val="007B62"/>
          <w:sz w:val="40"/>
          <w:szCs w:val="40"/>
        </w:rPr>
        <w:t>CALL FOR EXPRESSION OF INTEREST (EOI)</w:t>
      </w:r>
    </w:p>
    <w:p w14:paraId="573CA1C4" w14:textId="77777777" w:rsidR="004B7931" w:rsidRDefault="00000000">
      <w:pPr>
        <w:spacing w:after="20"/>
        <w:jc w:val="center"/>
      </w:pPr>
      <w:r>
        <w:rPr>
          <w:b/>
          <w:bCs/>
          <w:sz w:val="34"/>
          <w:szCs w:val="34"/>
        </w:rPr>
        <w:t>Financial Service Providers (FSPs)</w:t>
      </w:r>
    </w:p>
    <w:p w14:paraId="4C16C999" w14:textId="77777777" w:rsidR="004B7931" w:rsidRDefault="00000000">
      <w:pPr>
        <w:spacing w:after="60"/>
        <w:jc w:val="center"/>
      </w:pPr>
      <w:r>
        <w:rPr>
          <w:color w:val="555555"/>
          <w:sz w:val="26"/>
          <w:szCs w:val="26"/>
        </w:rPr>
        <w:t>Cash-Based Intervention (CBI) Programming Across Sudan</w:t>
      </w:r>
    </w:p>
    <w:p w14:paraId="2140D3EB" w14:textId="77777777" w:rsidR="004B7931" w:rsidRDefault="004B7931">
      <w:pPr>
        <w:spacing w:before="60" w:after="60"/>
      </w:pPr>
    </w:p>
    <w:tbl>
      <w:tblPr>
        <w:tblW w:w="9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93"/>
        <w:gridCol w:w="5646"/>
      </w:tblGrid>
      <w:tr w:rsidR="004B7931" w14:paraId="72F8EDFC" w14:textId="77777777" w:rsidTr="007F3EB6">
        <w:trPr>
          <w:trHeight w:val="237"/>
        </w:trPr>
        <w:tc>
          <w:tcPr>
            <w:tcW w:w="3593" w:type="dxa"/>
            <w:tcBorders>
              <w:top w:val="single" w:sz="4" w:space="0" w:color="D9D9D9"/>
              <w:left w:val="single" w:sz="4" w:space="0" w:color="D9D9D9"/>
              <w:bottom w:val="single" w:sz="4" w:space="0" w:color="D9D9D9"/>
              <w:right w:val="single" w:sz="4" w:space="0" w:color="D9D9D9"/>
            </w:tcBorders>
            <w:shd w:val="clear" w:color="auto" w:fill="007B62"/>
            <w:tcMar>
              <w:top w:w="100" w:type="dxa"/>
              <w:left w:w="160" w:type="dxa"/>
              <w:bottom w:w="100" w:type="dxa"/>
              <w:right w:w="160" w:type="dxa"/>
            </w:tcMar>
          </w:tcPr>
          <w:p w14:paraId="4F0E8FF9" w14:textId="77777777" w:rsidR="004B7931" w:rsidRDefault="00000000">
            <w:r>
              <w:rPr>
                <w:b/>
                <w:bCs/>
                <w:color w:val="FFFFFF"/>
              </w:rPr>
              <w:t>EOI Reference</w:t>
            </w:r>
          </w:p>
        </w:tc>
        <w:tc>
          <w:tcPr>
            <w:tcW w:w="5646" w:type="dxa"/>
            <w:tcBorders>
              <w:top w:val="single" w:sz="4" w:space="0" w:color="D9D9D9"/>
              <w:left w:val="single" w:sz="4" w:space="0" w:color="D9D9D9"/>
              <w:bottom w:val="single" w:sz="4" w:space="0" w:color="D9D9D9"/>
              <w:right w:val="single" w:sz="4" w:space="0" w:color="D9D9D9"/>
            </w:tcBorders>
            <w:tcMar>
              <w:top w:w="100" w:type="dxa"/>
              <w:left w:w="160" w:type="dxa"/>
              <w:bottom w:w="100" w:type="dxa"/>
              <w:right w:w="160" w:type="dxa"/>
            </w:tcMar>
          </w:tcPr>
          <w:p w14:paraId="7CB626BC" w14:textId="77777777" w:rsidR="004B7931" w:rsidRDefault="00000000">
            <w:r>
              <w:t>ADRA-SDN/CBI/EOI/2025/001</w:t>
            </w:r>
          </w:p>
        </w:tc>
      </w:tr>
      <w:tr w:rsidR="004B7931" w14:paraId="6978AE1B" w14:textId="77777777" w:rsidTr="007F3EB6">
        <w:trPr>
          <w:trHeight w:val="237"/>
        </w:trPr>
        <w:tc>
          <w:tcPr>
            <w:tcW w:w="3593" w:type="dxa"/>
            <w:tcBorders>
              <w:top w:val="single" w:sz="4" w:space="0" w:color="D9D9D9"/>
              <w:left w:val="single" w:sz="4" w:space="0" w:color="D9D9D9"/>
              <w:bottom w:val="single" w:sz="4" w:space="0" w:color="D9D9D9"/>
              <w:right w:val="single" w:sz="4" w:space="0" w:color="D9D9D9"/>
            </w:tcBorders>
            <w:shd w:val="clear" w:color="auto" w:fill="007B62"/>
            <w:tcMar>
              <w:top w:w="100" w:type="dxa"/>
              <w:left w:w="160" w:type="dxa"/>
              <w:bottom w:w="100" w:type="dxa"/>
              <w:right w:w="160" w:type="dxa"/>
            </w:tcMar>
          </w:tcPr>
          <w:p w14:paraId="52CEC7C5" w14:textId="77777777" w:rsidR="004B7931" w:rsidRDefault="00000000">
            <w:r>
              <w:rPr>
                <w:b/>
                <w:bCs/>
                <w:color w:val="FFFFFF"/>
              </w:rPr>
              <w:t>Issue Date</w:t>
            </w:r>
          </w:p>
        </w:tc>
        <w:tc>
          <w:tcPr>
            <w:tcW w:w="5646" w:type="dxa"/>
            <w:tcBorders>
              <w:top w:val="single" w:sz="4" w:space="0" w:color="D9D9D9"/>
              <w:left w:val="single" w:sz="4" w:space="0" w:color="D9D9D9"/>
              <w:bottom w:val="single" w:sz="4" w:space="0" w:color="D9D9D9"/>
              <w:right w:val="single" w:sz="4" w:space="0" w:color="D9D9D9"/>
            </w:tcBorders>
            <w:tcMar>
              <w:top w:w="100" w:type="dxa"/>
              <w:left w:w="160" w:type="dxa"/>
              <w:bottom w:w="100" w:type="dxa"/>
              <w:right w:w="160" w:type="dxa"/>
            </w:tcMar>
          </w:tcPr>
          <w:p w14:paraId="61D2A7B5" w14:textId="5197BA0F" w:rsidR="004B7931" w:rsidRDefault="002860CB">
            <w:r>
              <w:t>11- May - 2026</w:t>
            </w:r>
          </w:p>
        </w:tc>
      </w:tr>
      <w:tr w:rsidR="002860CB" w14:paraId="1242FC53" w14:textId="77777777" w:rsidTr="007F3EB6">
        <w:trPr>
          <w:trHeight w:val="237"/>
        </w:trPr>
        <w:tc>
          <w:tcPr>
            <w:tcW w:w="3593" w:type="dxa"/>
            <w:tcBorders>
              <w:top w:val="single" w:sz="4" w:space="0" w:color="D9D9D9"/>
              <w:left w:val="single" w:sz="4" w:space="0" w:color="D9D9D9"/>
              <w:bottom w:val="single" w:sz="4" w:space="0" w:color="D9D9D9"/>
              <w:right w:val="single" w:sz="4" w:space="0" w:color="D9D9D9"/>
            </w:tcBorders>
            <w:shd w:val="clear" w:color="auto" w:fill="007B62"/>
            <w:tcMar>
              <w:top w:w="100" w:type="dxa"/>
              <w:left w:w="160" w:type="dxa"/>
              <w:bottom w:w="100" w:type="dxa"/>
              <w:right w:w="160" w:type="dxa"/>
            </w:tcMar>
          </w:tcPr>
          <w:p w14:paraId="55BC3C77" w14:textId="77777777" w:rsidR="002860CB" w:rsidRDefault="002860CB" w:rsidP="002860CB">
            <w:r>
              <w:rPr>
                <w:b/>
                <w:bCs/>
                <w:color w:val="FFFFFF"/>
              </w:rPr>
              <w:t>Submission Deadline</w:t>
            </w:r>
          </w:p>
        </w:tc>
        <w:tc>
          <w:tcPr>
            <w:tcW w:w="5646" w:type="dxa"/>
            <w:tcBorders>
              <w:top w:val="single" w:sz="4" w:space="0" w:color="D9D9D9"/>
              <w:left w:val="single" w:sz="4" w:space="0" w:color="D9D9D9"/>
              <w:bottom w:val="single" w:sz="4" w:space="0" w:color="D9D9D9"/>
              <w:right w:val="single" w:sz="4" w:space="0" w:color="D9D9D9"/>
            </w:tcBorders>
            <w:tcMar>
              <w:top w:w="100" w:type="dxa"/>
              <w:left w:w="160" w:type="dxa"/>
              <w:bottom w:w="100" w:type="dxa"/>
              <w:right w:w="160" w:type="dxa"/>
            </w:tcMar>
          </w:tcPr>
          <w:p w14:paraId="31688855" w14:textId="45B9C6AF" w:rsidR="002860CB" w:rsidRDefault="002860CB" w:rsidP="002860CB">
            <w:r>
              <w:t xml:space="preserve">11- </w:t>
            </w:r>
            <w:r>
              <w:t>June</w:t>
            </w:r>
            <w:r>
              <w:t xml:space="preserve"> - 2026</w:t>
            </w:r>
          </w:p>
        </w:tc>
      </w:tr>
      <w:tr w:rsidR="002860CB" w14:paraId="3099EEB5" w14:textId="77777777" w:rsidTr="007F3EB6">
        <w:trPr>
          <w:trHeight w:val="237"/>
        </w:trPr>
        <w:tc>
          <w:tcPr>
            <w:tcW w:w="3593" w:type="dxa"/>
            <w:tcBorders>
              <w:top w:val="single" w:sz="4" w:space="0" w:color="D9D9D9"/>
              <w:left w:val="single" w:sz="4" w:space="0" w:color="D9D9D9"/>
              <w:bottom w:val="single" w:sz="4" w:space="0" w:color="D9D9D9"/>
              <w:right w:val="single" w:sz="4" w:space="0" w:color="D9D9D9"/>
            </w:tcBorders>
            <w:shd w:val="clear" w:color="auto" w:fill="007B62"/>
            <w:tcMar>
              <w:top w:w="100" w:type="dxa"/>
              <w:left w:w="160" w:type="dxa"/>
              <w:bottom w:w="100" w:type="dxa"/>
              <w:right w:w="160" w:type="dxa"/>
            </w:tcMar>
          </w:tcPr>
          <w:p w14:paraId="2ED6AEA8" w14:textId="77777777" w:rsidR="002860CB" w:rsidRDefault="002860CB" w:rsidP="002860CB">
            <w:r>
              <w:rPr>
                <w:b/>
                <w:bCs/>
                <w:color w:val="FFFFFF"/>
              </w:rPr>
              <w:t>Submission Email</w:t>
            </w:r>
          </w:p>
        </w:tc>
        <w:tc>
          <w:tcPr>
            <w:tcW w:w="5646" w:type="dxa"/>
            <w:tcBorders>
              <w:top w:val="single" w:sz="4" w:space="0" w:color="D9D9D9"/>
              <w:left w:val="single" w:sz="4" w:space="0" w:color="D9D9D9"/>
              <w:bottom w:val="single" w:sz="4" w:space="0" w:color="D9D9D9"/>
              <w:right w:val="single" w:sz="4" w:space="0" w:color="D9D9D9"/>
            </w:tcBorders>
            <w:tcMar>
              <w:top w:w="100" w:type="dxa"/>
              <w:left w:w="160" w:type="dxa"/>
              <w:bottom w:w="100" w:type="dxa"/>
              <w:right w:w="160" w:type="dxa"/>
            </w:tcMar>
          </w:tcPr>
          <w:p w14:paraId="7CF726D7" w14:textId="030802D7" w:rsidR="002860CB" w:rsidRDefault="002860CB" w:rsidP="002860CB">
            <w:r>
              <w:t>procurement@adrasudan.org</w:t>
            </w:r>
          </w:p>
        </w:tc>
      </w:tr>
      <w:tr w:rsidR="002860CB" w14:paraId="76536345" w14:textId="77777777" w:rsidTr="007F3EB6">
        <w:trPr>
          <w:trHeight w:val="487"/>
        </w:trPr>
        <w:tc>
          <w:tcPr>
            <w:tcW w:w="3593" w:type="dxa"/>
            <w:tcBorders>
              <w:top w:val="single" w:sz="4" w:space="0" w:color="D9D9D9"/>
              <w:left w:val="single" w:sz="4" w:space="0" w:color="D9D9D9"/>
              <w:bottom w:val="single" w:sz="4" w:space="0" w:color="D9D9D9"/>
              <w:right w:val="single" w:sz="4" w:space="0" w:color="D9D9D9"/>
            </w:tcBorders>
            <w:shd w:val="clear" w:color="auto" w:fill="007B62"/>
            <w:tcMar>
              <w:top w:w="100" w:type="dxa"/>
              <w:left w:w="160" w:type="dxa"/>
              <w:bottom w:w="100" w:type="dxa"/>
              <w:right w:w="160" w:type="dxa"/>
            </w:tcMar>
          </w:tcPr>
          <w:p w14:paraId="1C675F1C" w14:textId="77777777" w:rsidR="002860CB" w:rsidRDefault="002860CB" w:rsidP="002860CB">
            <w:r>
              <w:rPr>
                <w:b/>
                <w:bCs/>
                <w:color w:val="FFFFFF"/>
              </w:rPr>
              <w:t>Target Geography</w:t>
            </w:r>
          </w:p>
        </w:tc>
        <w:tc>
          <w:tcPr>
            <w:tcW w:w="5646" w:type="dxa"/>
            <w:tcBorders>
              <w:top w:val="single" w:sz="4" w:space="0" w:color="D9D9D9"/>
              <w:left w:val="single" w:sz="4" w:space="0" w:color="D9D9D9"/>
              <w:bottom w:val="single" w:sz="4" w:space="0" w:color="D9D9D9"/>
              <w:right w:val="single" w:sz="4" w:space="0" w:color="D9D9D9"/>
            </w:tcBorders>
            <w:tcMar>
              <w:top w:w="100" w:type="dxa"/>
              <w:left w:w="160" w:type="dxa"/>
              <w:bottom w:w="100" w:type="dxa"/>
              <w:right w:w="160" w:type="dxa"/>
            </w:tcMar>
          </w:tcPr>
          <w:p w14:paraId="44B88858" w14:textId="714C80F8" w:rsidR="002860CB" w:rsidRDefault="002860CB" w:rsidP="002860CB">
            <w:r>
              <w:t>All States of Sudan (Priority: Khartoum, Darfur, Blue Nile, Kordofan, White Nile, Gezira)</w:t>
            </w:r>
          </w:p>
        </w:tc>
      </w:tr>
    </w:tbl>
    <w:p w14:paraId="78143CF5" w14:textId="77777777" w:rsidR="004B7931" w:rsidRDefault="004B7931">
      <w:pPr>
        <w:spacing w:before="120" w:after="60"/>
      </w:pPr>
    </w:p>
    <w:p w14:paraId="50BE2BFB" w14:textId="77777777" w:rsidR="004B7931" w:rsidRDefault="00000000">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7B62"/>
        <w:tblCellMar>
          <w:left w:w="10" w:type="dxa"/>
          <w:right w:w="10" w:type="dxa"/>
        </w:tblCellMar>
        <w:tblLook w:val="04A0" w:firstRow="1" w:lastRow="0" w:firstColumn="1" w:lastColumn="0" w:noHBand="0" w:noVBand="1"/>
      </w:tblPr>
      <w:tblGrid>
        <w:gridCol w:w="9360"/>
      </w:tblGrid>
      <w:tr w:rsidR="004B7931" w14:paraId="588F07B3" w14:textId="77777777" w:rsidTr="00311DC5">
        <w:tc>
          <w:tcPr>
            <w:tcW w:w="9360" w:type="dxa"/>
            <w:tcBorders>
              <w:top w:val="none" w:sz="0" w:space="0" w:color="FFFFFF"/>
              <w:left w:val="none" w:sz="0" w:space="0" w:color="FFFFFF"/>
              <w:bottom w:val="none" w:sz="0" w:space="0" w:color="FFFFFF"/>
              <w:right w:val="none" w:sz="0" w:space="0" w:color="FFFFFF"/>
            </w:tcBorders>
            <w:shd w:val="clear" w:color="auto" w:fill="007B62"/>
            <w:tcMar>
              <w:top w:w="140" w:type="dxa"/>
              <w:left w:w="220" w:type="dxa"/>
              <w:bottom w:w="140" w:type="dxa"/>
              <w:right w:w="220" w:type="dxa"/>
            </w:tcMar>
          </w:tcPr>
          <w:p w14:paraId="2AAA0BAF" w14:textId="77777777" w:rsidR="004B7931" w:rsidRDefault="00000000">
            <w:r>
              <w:rPr>
                <w:b/>
                <w:bCs/>
                <w:color w:val="FFFFFF"/>
                <w:sz w:val="26"/>
                <w:szCs w:val="26"/>
              </w:rPr>
              <w:lastRenderedPageBreak/>
              <w:t>SECTION 1: INTRODUCTION AND BACKGROUND</w:t>
            </w:r>
          </w:p>
        </w:tc>
      </w:tr>
    </w:tbl>
    <w:p w14:paraId="022730AD" w14:textId="77777777" w:rsidR="004B7931" w:rsidRDefault="004B7931">
      <w:pPr>
        <w:spacing w:before="8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7B62"/>
        <w:tblCellMar>
          <w:left w:w="10" w:type="dxa"/>
          <w:right w:w="10" w:type="dxa"/>
        </w:tblCellMar>
        <w:tblLook w:val="04A0" w:firstRow="1" w:lastRow="0" w:firstColumn="1" w:lastColumn="0" w:noHBand="0" w:noVBand="1"/>
      </w:tblPr>
      <w:tblGrid>
        <w:gridCol w:w="9360"/>
      </w:tblGrid>
      <w:tr w:rsidR="004B7931" w14:paraId="25189AAE" w14:textId="77777777" w:rsidTr="00311DC5">
        <w:tc>
          <w:tcPr>
            <w:tcW w:w="9360" w:type="dxa"/>
            <w:tcBorders>
              <w:top w:val="none" w:sz="0" w:space="0" w:color="FFFFFF"/>
              <w:left w:val="none" w:sz="0" w:space="0" w:color="FFFFFF"/>
              <w:bottom w:val="none" w:sz="0" w:space="0" w:color="FFFFFF"/>
              <w:right w:val="none" w:sz="0" w:space="0" w:color="FFFFFF"/>
            </w:tcBorders>
            <w:shd w:val="clear" w:color="auto" w:fill="007B62"/>
            <w:tcMar>
              <w:top w:w="100" w:type="dxa"/>
              <w:left w:w="200" w:type="dxa"/>
              <w:bottom w:w="100" w:type="dxa"/>
              <w:right w:w="200" w:type="dxa"/>
            </w:tcMar>
          </w:tcPr>
          <w:p w14:paraId="34831DBD" w14:textId="77777777" w:rsidR="004B7931" w:rsidRDefault="00000000">
            <w:proofErr w:type="gramStart"/>
            <w:r>
              <w:rPr>
                <w:b/>
                <w:bCs/>
                <w:color w:val="FFFFFF"/>
                <w:sz w:val="22"/>
                <w:szCs w:val="22"/>
              </w:rPr>
              <w:t>1.1  About</w:t>
            </w:r>
            <w:proofErr w:type="gramEnd"/>
            <w:r>
              <w:rPr>
                <w:b/>
                <w:bCs/>
                <w:color w:val="FFFFFF"/>
                <w:sz w:val="22"/>
                <w:szCs w:val="22"/>
              </w:rPr>
              <w:t xml:space="preserve"> ADRA Sudan</w:t>
            </w:r>
          </w:p>
        </w:tc>
      </w:tr>
    </w:tbl>
    <w:p w14:paraId="3BF2C679" w14:textId="77777777" w:rsidR="004B7931" w:rsidRDefault="004B7931">
      <w:pPr>
        <w:spacing w:before="60" w:after="40"/>
      </w:pPr>
    </w:p>
    <w:p w14:paraId="6BB4F1D0" w14:textId="77777777" w:rsidR="004B7931" w:rsidRDefault="00000000">
      <w:pPr>
        <w:spacing w:before="80" w:after="80"/>
      </w:pPr>
      <w:r>
        <w:t>ADRA Sudan is the national country office of the global Adventist Development and Relief Agency (ADRA), a faith-based International Non-Governmental Organization operating in Sudan since 1984. ADRA Sudan works in partnership with communities, local and national governments, UN agencies, and other NGOs to deliver humanitarian assistance and long-term development programming to the most vulnerable populations across Sudan.</w:t>
      </w:r>
    </w:p>
    <w:p w14:paraId="17AD9AF2" w14:textId="77777777" w:rsidR="004B7931" w:rsidRDefault="004B7931">
      <w:pPr>
        <w:spacing w:before="60" w:after="40"/>
      </w:pPr>
    </w:p>
    <w:p w14:paraId="7A1DFC6B" w14:textId="77777777" w:rsidR="004B7931" w:rsidRDefault="00000000">
      <w:pPr>
        <w:spacing w:before="80" w:after="80"/>
      </w:pPr>
      <w:r>
        <w:t>ADRA Sudan’s programming spans food security and livelihoods, water, sanitation and hygiene (WASH), health, education, and protection. Cash-Based Interventions (CBIs) are a growing modality within our emergency and recovery programming, allowing beneficiaries to meet diverse needs with dignity and agency.</w:t>
      </w:r>
    </w:p>
    <w:p w14:paraId="6B699226" w14:textId="77777777" w:rsidR="004B7931" w:rsidRDefault="004B7931">
      <w:pPr>
        <w:spacing w:before="12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7B62"/>
        <w:tblCellMar>
          <w:left w:w="10" w:type="dxa"/>
          <w:right w:w="10" w:type="dxa"/>
        </w:tblCellMar>
        <w:tblLook w:val="04A0" w:firstRow="1" w:lastRow="0" w:firstColumn="1" w:lastColumn="0" w:noHBand="0" w:noVBand="1"/>
      </w:tblPr>
      <w:tblGrid>
        <w:gridCol w:w="9360"/>
      </w:tblGrid>
      <w:tr w:rsidR="004B7931" w14:paraId="6A3C7E21" w14:textId="77777777" w:rsidTr="00311DC5">
        <w:tc>
          <w:tcPr>
            <w:tcW w:w="9360" w:type="dxa"/>
            <w:tcBorders>
              <w:top w:val="none" w:sz="0" w:space="0" w:color="FFFFFF"/>
              <w:left w:val="none" w:sz="0" w:space="0" w:color="FFFFFF"/>
              <w:bottom w:val="none" w:sz="0" w:space="0" w:color="FFFFFF"/>
              <w:right w:val="none" w:sz="0" w:space="0" w:color="FFFFFF"/>
            </w:tcBorders>
            <w:shd w:val="clear" w:color="auto" w:fill="007B62"/>
            <w:tcMar>
              <w:top w:w="100" w:type="dxa"/>
              <w:left w:w="200" w:type="dxa"/>
              <w:bottom w:w="100" w:type="dxa"/>
              <w:right w:w="200" w:type="dxa"/>
            </w:tcMar>
          </w:tcPr>
          <w:p w14:paraId="4C18B09E" w14:textId="77777777" w:rsidR="004B7931" w:rsidRDefault="00000000">
            <w:proofErr w:type="gramStart"/>
            <w:r>
              <w:rPr>
                <w:b/>
                <w:bCs/>
                <w:color w:val="FFFFFF"/>
                <w:sz w:val="22"/>
                <w:szCs w:val="22"/>
              </w:rPr>
              <w:t>1.2  Operational</w:t>
            </w:r>
            <w:proofErr w:type="gramEnd"/>
            <w:r>
              <w:rPr>
                <w:b/>
                <w:bCs/>
                <w:color w:val="FFFFFF"/>
                <w:sz w:val="22"/>
                <w:szCs w:val="22"/>
              </w:rPr>
              <w:t xml:space="preserve"> Context</w:t>
            </w:r>
          </w:p>
        </w:tc>
      </w:tr>
    </w:tbl>
    <w:p w14:paraId="2DBFA4EF" w14:textId="77777777" w:rsidR="004B7931" w:rsidRDefault="004B7931">
      <w:pPr>
        <w:spacing w:before="60" w:after="40"/>
      </w:pPr>
    </w:p>
    <w:p w14:paraId="2C2742B6" w14:textId="77777777" w:rsidR="004B7931" w:rsidRDefault="00000000">
      <w:pPr>
        <w:spacing w:before="80" w:after="80"/>
      </w:pPr>
      <w:r>
        <w:t>Sudan is experiencing one of the world’s most severe humanitarian crises. The conflict that escalated in April 2023 has led to mass displacement, destruction of critical infrastructure, and near-collapse of formal financial systems in many areas. ADRA Sudan continues to operate across multiple states, adapting its modalities to the liquidity shortages, internet and telecommunications disruptions, and access constraints that characterise the current environment.</w:t>
      </w:r>
    </w:p>
    <w:p w14:paraId="79370A71" w14:textId="77777777" w:rsidR="004B7931" w:rsidRDefault="004B7931">
      <w:pPr>
        <w:spacing w:before="60" w:after="40"/>
      </w:pPr>
    </w:p>
    <w:p w14:paraId="4F989872" w14:textId="77777777" w:rsidR="004B7931" w:rsidRDefault="00000000">
      <w:pPr>
        <w:spacing w:before="80" w:after="80"/>
      </w:pPr>
      <w:r>
        <w:t>In this context, identifying pre-qualified, resilient, and geographically diverse Financial Service Providers is a strategic priority to ensure that cash assistance reaches affected populations reliably, rapidly, and securely.</w:t>
      </w:r>
    </w:p>
    <w:p w14:paraId="2C1D2FF2" w14:textId="77777777" w:rsidR="004B7931" w:rsidRDefault="004B7931">
      <w:pPr>
        <w:spacing w:before="12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7B62"/>
        <w:tblCellMar>
          <w:left w:w="10" w:type="dxa"/>
          <w:right w:w="10" w:type="dxa"/>
        </w:tblCellMar>
        <w:tblLook w:val="04A0" w:firstRow="1" w:lastRow="0" w:firstColumn="1" w:lastColumn="0" w:noHBand="0" w:noVBand="1"/>
      </w:tblPr>
      <w:tblGrid>
        <w:gridCol w:w="9360"/>
      </w:tblGrid>
      <w:tr w:rsidR="004B7931" w14:paraId="051A573B" w14:textId="77777777" w:rsidTr="00311DC5">
        <w:tc>
          <w:tcPr>
            <w:tcW w:w="9360" w:type="dxa"/>
            <w:tcBorders>
              <w:top w:val="none" w:sz="0" w:space="0" w:color="FFFFFF"/>
              <w:left w:val="none" w:sz="0" w:space="0" w:color="FFFFFF"/>
              <w:bottom w:val="none" w:sz="0" w:space="0" w:color="FFFFFF"/>
              <w:right w:val="none" w:sz="0" w:space="0" w:color="FFFFFF"/>
            </w:tcBorders>
            <w:shd w:val="clear" w:color="auto" w:fill="007B62"/>
            <w:tcMar>
              <w:top w:w="100" w:type="dxa"/>
              <w:left w:w="200" w:type="dxa"/>
              <w:bottom w:w="100" w:type="dxa"/>
              <w:right w:w="200" w:type="dxa"/>
            </w:tcMar>
          </w:tcPr>
          <w:p w14:paraId="76C52B48" w14:textId="77777777" w:rsidR="004B7931" w:rsidRDefault="00000000">
            <w:proofErr w:type="gramStart"/>
            <w:r>
              <w:rPr>
                <w:b/>
                <w:bCs/>
                <w:color w:val="FFFFFF"/>
                <w:sz w:val="22"/>
                <w:szCs w:val="22"/>
              </w:rPr>
              <w:t>1.3  Purpose</w:t>
            </w:r>
            <w:proofErr w:type="gramEnd"/>
            <w:r>
              <w:rPr>
                <w:b/>
                <w:bCs/>
                <w:color w:val="FFFFFF"/>
                <w:sz w:val="22"/>
                <w:szCs w:val="22"/>
              </w:rPr>
              <w:t xml:space="preserve"> of This EOI</w:t>
            </w:r>
          </w:p>
        </w:tc>
      </w:tr>
    </w:tbl>
    <w:p w14:paraId="5E911F77" w14:textId="77777777" w:rsidR="004B7931" w:rsidRDefault="004B7931">
      <w:pPr>
        <w:spacing w:before="60" w:after="40"/>
      </w:pPr>
    </w:p>
    <w:p w14:paraId="0070F871" w14:textId="77777777" w:rsidR="004B7931" w:rsidRDefault="00000000">
      <w:pPr>
        <w:spacing w:before="80" w:after="80"/>
      </w:pPr>
      <w:r>
        <w:t>The purpose of this Expression of Interest (EOI) is to:</w:t>
      </w:r>
    </w:p>
    <w:p w14:paraId="08F7C339" w14:textId="77777777" w:rsidR="004B7931" w:rsidRDefault="00000000">
      <w:pPr>
        <w:spacing w:before="40" w:after="40"/>
        <w:ind w:left="720" w:hanging="360"/>
      </w:pPr>
      <w:r>
        <w:rPr>
          <w:sz w:val="19"/>
          <w:szCs w:val="19"/>
        </w:rPr>
        <w:t>•  Identify and pre-qualify Financial Service Providers (FSPs) with the legal standing, operational capacity, and technical infrastructure to deliver cash-based assistance across Sudan;</w:t>
      </w:r>
    </w:p>
    <w:p w14:paraId="24090FB7" w14:textId="77777777" w:rsidR="004B7931" w:rsidRDefault="00000000">
      <w:pPr>
        <w:spacing w:before="40" w:after="40"/>
        <w:ind w:left="720" w:hanging="360"/>
      </w:pPr>
      <w:r>
        <w:rPr>
          <w:sz w:val="19"/>
          <w:szCs w:val="19"/>
        </w:rPr>
        <w:t>•  Assess the geographic reach, delivery modalities, and liquidity management capabilities of interested FSPs;</w:t>
      </w:r>
    </w:p>
    <w:p w14:paraId="0AACB2B1" w14:textId="77777777" w:rsidR="004B7931" w:rsidRDefault="00000000">
      <w:pPr>
        <w:spacing w:before="40" w:after="40"/>
        <w:ind w:left="720" w:hanging="360"/>
      </w:pPr>
      <w:r>
        <w:rPr>
          <w:sz w:val="19"/>
          <w:szCs w:val="19"/>
        </w:rPr>
        <w:t>•  Establish a roster of qualified FSPs for potential engagement through a subsequent formal Request for Proposal (RFP) process;</w:t>
      </w:r>
    </w:p>
    <w:p w14:paraId="1E4FEBE9" w14:textId="423C00BF" w:rsidR="004B7931" w:rsidRDefault="00000000">
      <w:pPr>
        <w:spacing w:before="40" w:after="40"/>
        <w:ind w:left="720" w:hanging="360"/>
      </w:pPr>
      <w:r>
        <w:rPr>
          <w:sz w:val="19"/>
          <w:szCs w:val="19"/>
        </w:rPr>
        <w:t xml:space="preserve">•  </w:t>
      </w:r>
    </w:p>
    <w:p w14:paraId="7B19FCEE" w14:textId="77777777" w:rsidR="004B7931" w:rsidRDefault="004B7931">
      <w:pPr>
        <w:spacing w:before="12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7B62"/>
        <w:tblCellMar>
          <w:left w:w="10" w:type="dxa"/>
          <w:right w:w="10" w:type="dxa"/>
        </w:tblCellMar>
        <w:tblLook w:val="04A0" w:firstRow="1" w:lastRow="0" w:firstColumn="1" w:lastColumn="0" w:noHBand="0" w:noVBand="1"/>
      </w:tblPr>
      <w:tblGrid>
        <w:gridCol w:w="9360"/>
      </w:tblGrid>
      <w:tr w:rsidR="004B7931" w14:paraId="0E8D2487" w14:textId="77777777" w:rsidTr="00311DC5">
        <w:tc>
          <w:tcPr>
            <w:tcW w:w="9360" w:type="dxa"/>
            <w:tcBorders>
              <w:top w:val="none" w:sz="0" w:space="0" w:color="FFFFFF"/>
              <w:left w:val="none" w:sz="0" w:space="0" w:color="FFFFFF"/>
              <w:bottom w:val="none" w:sz="0" w:space="0" w:color="FFFFFF"/>
              <w:right w:val="none" w:sz="0" w:space="0" w:color="FFFFFF"/>
            </w:tcBorders>
            <w:shd w:val="clear" w:color="auto" w:fill="007B62"/>
            <w:tcMar>
              <w:top w:w="100" w:type="dxa"/>
              <w:left w:w="200" w:type="dxa"/>
              <w:bottom w:w="100" w:type="dxa"/>
              <w:right w:w="200" w:type="dxa"/>
            </w:tcMar>
          </w:tcPr>
          <w:p w14:paraId="2F093042" w14:textId="77777777" w:rsidR="004B7931" w:rsidRDefault="00000000">
            <w:proofErr w:type="gramStart"/>
            <w:r>
              <w:rPr>
                <w:b/>
                <w:bCs/>
                <w:color w:val="FFFFFF"/>
                <w:sz w:val="22"/>
                <w:szCs w:val="22"/>
              </w:rPr>
              <w:t>1.4  Scope</w:t>
            </w:r>
            <w:proofErr w:type="gramEnd"/>
            <w:r>
              <w:rPr>
                <w:b/>
                <w:bCs/>
                <w:color w:val="FFFFFF"/>
                <w:sz w:val="22"/>
                <w:szCs w:val="22"/>
              </w:rPr>
              <w:t xml:space="preserve"> of Services</w:t>
            </w:r>
          </w:p>
        </w:tc>
      </w:tr>
    </w:tbl>
    <w:p w14:paraId="57BF0CA2" w14:textId="77777777" w:rsidR="004B7931" w:rsidRDefault="004B7931">
      <w:pPr>
        <w:spacing w:before="60" w:after="40"/>
      </w:pPr>
    </w:p>
    <w:p w14:paraId="57548887" w14:textId="77777777" w:rsidR="004B7931" w:rsidRDefault="00000000">
      <w:pPr>
        <w:spacing w:before="80" w:after="80"/>
      </w:pPr>
      <w:r>
        <w:t>ADRA Sudan seeks FSPs capable of supporting one or more of the following cash delivery modalities:</w:t>
      </w:r>
    </w:p>
    <w:p w14:paraId="61068F8A" w14:textId="77777777" w:rsidR="004B7931" w:rsidRDefault="00000000">
      <w:pPr>
        <w:spacing w:before="40" w:after="40"/>
        <w:ind w:left="720" w:hanging="360"/>
      </w:pPr>
      <w:r>
        <w:rPr>
          <w:sz w:val="19"/>
          <w:szCs w:val="19"/>
        </w:rPr>
        <w:t xml:space="preserve">•  </w:t>
      </w:r>
      <w:proofErr w:type="gramStart"/>
      <w:r>
        <w:rPr>
          <w:sz w:val="19"/>
          <w:szCs w:val="19"/>
        </w:rPr>
        <w:t>Over-the-Counter</w:t>
      </w:r>
      <w:proofErr w:type="gramEnd"/>
      <w:r>
        <w:rPr>
          <w:sz w:val="19"/>
          <w:szCs w:val="19"/>
        </w:rPr>
        <w:t xml:space="preserve"> (OTC) cash distribution at branch or agent network locations;</w:t>
      </w:r>
    </w:p>
    <w:p w14:paraId="53BD7B92" w14:textId="77777777" w:rsidR="004B7931" w:rsidRDefault="00000000">
      <w:pPr>
        <w:spacing w:before="40" w:after="40"/>
        <w:ind w:left="720" w:hanging="360"/>
      </w:pPr>
      <w:r>
        <w:rPr>
          <w:sz w:val="19"/>
          <w:szCs w:val="19"/>
        </w:rPr>
        <w:t>•  Mobile Money transfers via digital wallets or SMS-based platforms;</w:t>
      </w:r>
    </w:p>
    <w:p w14:paraId="273A7319" w14:textId="77777777" w:rsidR="004B7931" w:rsidRDefault="00000000">
      <w:pPr>
        <w:spacing w:before="40" w:after="40"/>
        <w:ind w:left="720" w:hanging="360"/>
      </w:pPr>
      <w:r>
        <w:rPr>
          <w:sz w:val="19"/>
          <w:szCs w:val="19"/>
        </w:rPr>
        <w:t>•  Smart Card / Pre-Paid Card systems, both online and offline-capable;</w:t>
      </w:r>
    </w:p>
    <w:p w14:paraId="085E3E82" w14:textId="77777777" w:rsidR="004B7931" w:rsidRDefault="00000000">
      <w:pPr>
        <w:spacing w:before="40" w:after="40"/>
        <w:ind w:left="720" w:hanging="360"/>
      </w:pPr>
      <w:r>
        <w:rPr>
          <w:sz w:val="19"/>
          <w:szCs w:val="19"/>
        </w:rPr>
        <w:t>•  Direct physical delivery of cash to programme sites via armoured vehicle.</w:t>
      </w:r>
    </w:p>
    <w:p w14:paraId="2290AC16" w14:textId="77777777" w:rsidR="004B7931" w:rsidRDefault="004B7931">
      <w:pPr>
        <w:spacing w:before="60" w:after="40"/>
      </w:pPr>
    </w:p>
    <w:p w14:paraId="23269DF0" w14:textId="77777777" w:rsidR="004B7931" w:rsidRDefault="00000000">
      <w:pPr>
        <w:spacing w:before="80" w:after="80"/>
      </w:pPr>
      <w:r>
        <w:lastRenderedPageBreak/>
        <w:t>The scale of operations may range from 1,000 to 50,000+ beneficiary households per distribution cycle, across one or more target states. FSPs should indicate which modalities they can support and in which geographic areas.</w:t>
      </w:r>
    </w:p>
    <w:p w14:paraId="1B85C0C7" w14:textId="77777777" w:rsidR="004B7931" w:rsidRDefault="00000000">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7B62"/>
        <w:tblCellMar>
          <w:left w:w="10" w:type="dxa"/>
          <w:right w:w="10" w:type="dxa"/>
        </w:tblCellMar>
        <w:tblLook w:val="04A0" w:firstRow="1" w:lastRow="0" w:firstColumn="1" w:lastColumn="0" w:noHBand="0" w:noVBand="1"/>
      </w:tblPr>
      <w:tblGrid>
        <w:gridCol w:w="9360"/>
      </w:tblGrid>
      <w:tr w:rsidR="004B7931" w14:paraId="676B8237" w14:textId="77777777" w:rsidTr="00311DC5">
        <w:tc>
          <w:tcPr>
            <w:tcW w:w="9360" w:type="dxa"/>
            <w:tcBorders>
              <w:top w:val="none" w:sz="0" w:space="0" w:color="FFFFFF"/>
              <w:left w:val="none" w:sz="0" w:space="0" w:color="FFFFFF"/>
              <w:bottom w:val="none" w:sz="0" w:space="0" w:color="FFFFFF"/>
              <w:right w:val="none" w:sz="0" w:space="0" w:color="FFFFFF"/>
            </w:tcBorders>
            <w:shd w:val="clear" w:color="auto" w:fill="007B62"/>
            <w:tcMar>
              <w:top w:w="140" w:type="dxa"/>
              <w:left w:w="220" w:type="dxa"/>
              <w:bottom w:w="140" w:type="dxa"/>
              <w:right w:w="220" w:type="dxa"/>
            </w:tcMar>
          </w:tcPr>
          <w:p w14:paraId="75415BCB" w14:textId="77777777" w:rsidR="004B7931" w:rsidRDefault="00000000">
            <w:r>
              <w:rPr>
                <w:b/>
                <w:bCs/>
                <w:color w:val="FFFFFF"/>
                <w:sz w:val="26"/>
                <w:szCs w:val="26"/>
              </w:rPr>
              <w:lastRenderedPageBreak/>
              <w:t>SECTION 2: ELIGIBILITY CRITERIA – LEGAL AND COMPLIANCE (NON-NEGOTIABLE)</w:t>
            </w:r>
          </w:p>
        </w:tc>
      </w:tr>
    </w:tbl>
    <w:p w14:paraId="226F6168" w14:textId="77777777" w:rsidR="004B7931" w:rsidRDefault="004B7931">
      <w:pPr>
        <w:spacing w:before="8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B7931" w14:paraId="4D87DE04" w14:textId="77777777">
        <w:tc>
          <w:tcPr>
            <w:tcW w:w="9360" w:type="dxa"/>
            <w:tcBorders>
              <w:top w:val="single" w:sz="6" w:space="0" w:color="C0282F"/>
              <w:left w:val="single" w:sz="6" w:space="0" w:color="C0282F"/>
              <w:bottom w:val="single" w:sz="6" w:space="0" w:color="C0282F"/>
              <w:right w:val="single" w:sz="6" w:space="0" w:color="C0282F"/>
            </w:tcBorders>
            <w:shd w:val="clear" w:color="auto" w:fill="FFF5F5"/>
            <w:tcMar>
              <w:top w:w="120" w:type="dxa"/>
              <w:left w:w="200" w:type="dxa"/>
              <w:bottom w:w="120" w:type="dxa"/>
              <w:right w:w="200" w:type="dxa"/>
            </w:tcMar>
          </w:tcPr>
          <w:p w14:paraId="25F89C10" w14:textId="77777777" w:rsidR="004B7931" w:rsidRDefault="00000000">
            <w:r>
              <w:rPr>
                <w:sz w:val="19"/>
                <w:szCs w:val="19"/>
              </w:rPr>
              <w:t>All criteria in this section are Pass/Fail. FSPs that cannot demonstrate compliance with ALL items below will be automatically disqualified from further evaluation.</w:t>
            </w:r>
          </w:p>
        </w:tc>
      </w:tr>
    </w:tbl>
    <w:p w14:paraId="705D0EE0" w14:textId="77777777" w:rsidR="004B7931" w:rsidRDefault="004B7931">
      <w:pPr>
        <w:spacing w:before="8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7B62"/>
        <w:tblCellMar>
          <w:left w:w="10" w:type="dxa"/>
          <w:right w:w="10" w:type="dxa"/>
        </w:tblCellMar>
        <w:tblLook w:val="04A0" w:firstRow="1" w:lastRow="0" w:firstColumn="1" w:lastColumn="0" w:noHBand="0" w:noVBand="1"/>
      </w:tblPr>
      <w:tblGrid>
        <w:gridCol w:w="9360"/>
      </w:tblGrid>
      <w:tr w:rsidR="004B7931" w14:paraId="40534909" w14:textId="77777777" w:rsidTr="00311DC5">
        <w:tc>
          <w:tcPr>
            <w:tcW w:w="9360" w:type="dxa"/>
            <w:tcBorders>
              <w:top w:val="none" w:sz="0" w:space="0" w:color="FFFFFF"/>
              <w:left w:val="none" w:sz="0" w:space="0" w:color="FFFFFF"/>
              <w:bottom w:val="none" w:sz="0" w:space="0" w:color="FFFFFF"/>
              <w:right w:val="none" w:sz="0" w:space="0" w:color="FFFFFF"/>
            </w:tcBorders>
            <w:shd w:val="clear" w:color="auto" w:fill="007B62"/>
            <w:tcMar>
              <w:top w:w="100" w:type="dxa"/>
              <w:left w:w="200" w:type="dxa"/>
              <w:bottom w:w="100" w:type="dxa"/>
              <w:right w:w="200" w:type="dxa"/>
            </w:tcMar>
          </w:tcPr>
          <w:p w14:paraId="3D1095E5" w14:textId="77777777" w:rsidR="004B7931" w:rsidRDefault="00000000">
            <w:proofErr w:type="gramStart"/>
            <w:r>
              <w:rPr>
                <w:b/>
                <w:bCs/>
                <w:color w:val="FFFFFF"/>
                <w:sz w:val="22"/>
                <w:szCs w:val="22"/>
              </w:rPr>
              <w:t>2.1  Valid</w:t>
            </w:r>
            <w:proofErr w:type="gramEnd"/>
            <w:r>
              <w:rPr>
                <w:b/>
                <w:bCs/>
                <w:color w:val="FFFFFF"/>
                <w:sz w:val="22"/>
                <w:szCs w:val="22"/>
              </w:rPr>
              <w:t xml:space="preserve"> Legal Registration and Licensing</w:t>
            </w:r>
          </w:p>
        </w:tc>
      </w:tr>
    </w:tbl>
    <w:p w14:paraId="5625A5C0" w14:textId="77777777" w:rsidR="004B7931" w:rsidRDefault="004B7931">
      <w:pPr>
        <w:spacing w:before="60" w:after="40"/>
      </w:pPr>
    </w:p>
    <w:p w14:paraId="7D549B86" w14:textId="77777777" w:rsidR="004B7931" w:rsidRDefault="00000000">
      <w:pPr>
        <w:spacing w:before="80" w:after="80"/>
      </w:pPr>
      <w:r>
        <w:t>Applicants must provide:</w:t>
      </w:r>
    </w:p>
    <w:p w14:paraId="31DF6FA6" w14:textId="083030F9" w:rsidR="004B7931" w:rsidRDefault="00000000">
      <w:pPr>
        <w:spacing w:before="40" w:after="40"/>
        <w:ind w:left="720" w:hanging="360"/>
      </w:pPr>
      <w:r>
        <w:rPr>
          <w:sz w:val="19"/>
          <w:szCs w:val="19"/>
        </w:rPr>
        <w:t>•  A valid and current operating license issued by the Central Bank of Sudan (</w:t>
      </w:r>
      <w:proofErr w:type="spellStart"/>
      <w:r>
        <w:rPr>
          <w:sz w:val="19"/>
          <w:szCs w:val="19"/>
        </w:rPr>
        <w:t>CBoS</w:t>
      </w:r>
      <w:proofErr w:type="spellEnd"/>
      <w:r>
        <w:rPr>
          <w:sz w:val="19"/>
          <w:szCs w:val="19"/>
        </w:rPr>
        <w:t>) authorizing the provision of financial services (banking, mobile money, remittance/hawala, or money transfer operations);</w:t>
      </w:r>
      <w:r w:rsidR="00311DC5">
        <w:rPr>
          <w:sz w:val="19"/>
          <w:szCs w:val="19"/>
        </w:rPr>
        <w:t xml:space="preserve"> or works with proxies with operating licenses</w:t>
      </w:r>
    </w:p>
    <w:p w14:paraId="63CAF278" w14:textId="77777777" w:rsidR="004B7931" w:rsidRDefault="00000000">
      <w:pPr>
        <w:spacing w:before="40" w:after="40"/>
        <w:ind w:left="720" w:hanging="360"/>
      </w:pPr>
      <w:r>
        <w:rPr>
          <w:sz w:val="19"/>
          <w:szCs w:val="19"/>
        </w:rPr>
        <w:t>•  A valid Certificate of Registration from the relevant Sudanese regulatory authority (Registrar of Companies or equivalent);</w:t>
      </w:r>
    </w:p>
    <w:p w14:paraId="7235AB74" w14:textId="6561AEB8" w:rsidR="004B7931" w:rsidRDefault="00000000" w:rsidP="002860CB">
      <w:pPr>
        <w:spacing w:before="40" w:after="40"/>
        <w:ind w:left="720" w:hanging="360"/>
      </w:pPr>
      <w:r>
        <w:rPr>
          <w:sz w:val="19"/>
          <w:szCs w:val="19"/>
        </w:rPr>
        <w:t>•  Documentation confirming the organization is in good standing with all relevant regulatory bodies.</w:t>
      </w:r>
    </w:p>
    <w:p w14:paraId="0FFF7A14" w14:textId="77777777" w:rsidR="004B7931" w:rsidRDefault="00000000">
      <w:pPr>
        <w:spacing w:before="40" w:after="40"/>
        <w:ind w:left="720" w:hanging="360"/>
      </w:pPr>
      <w:r>
        <w:rPr>
          <w:sz w:val="19"/>
          <w:szCs w:val="19"/>
        </w:rPr>
        <w:t>•  Valid Tax Identification Number (TIN) issued by the Sudan Tax Authority;</w:t>
      </w:r>
    </w:p>
    <w:p w14:paraId="56FB0B2F" w14:textId="77777777" w:rsidR="004B7931" w:rsidRDefault="00000000">
      <w:pPr>
        <w:spacing w:before="40" w:after="40"/>
        <w:ind w:left="720" w:hanging="360"/>
      </w:pPr>
      <w:r>
        <w:rPr>
          <w:sz w:val="19"/>
          <w:szCs w:val="19"/>
        </w:rPr>
        <w:t>•  Current Tax Clearance Certificate (not older than 6 months at time of submission).</w:t>
      </w:r>
    </w:p>
    <w:p w14:paraId="77E8F392" w14:textId="77777777" w:rsidR="004B7931" w:rsidRDefault="004B7931">
      <w:pPr>
        <w:spacing w:before="12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7B62"/>
        <w:tblCellMar>
          <w:left w:w="10" w:type="dxa"/>
          <w:right w:w="10" w:type="dxa"/>
        </w:tblCellMar>
        <w:tblLook w:val="04A0" w:firstRow="1" w:lastRow="0" w:firstColumn="1" w:lastColumn="0" w:noHBand="0" w:noVBand="1"/>
      </w:tblPr>
      <w:tblGrid>
        <w:gridCol w:w="9360"/>
      </w:tblGrid>
      <w:tr w:rsidR="004B7931" w14:paraId="1105B4D4" w14:textId="77777777" w:rsidTr="00311DC5">
        <w:tc>
          <w:tcPr>
            <w:tcW w:w="9360" w:type="dxa"/>
            <w:tcBorders>
              <w:top w:val="none" w:sz="0" w:space="0" w:color="FFFFFF"/>
              <w:left w:val="none" w:sz="0" w:space="0" w:color="FFFFFF"/>
              <w:bottom w:val="none" w:sz="0" w:space="0" w:color="FFFFFF"/>
              <w:right w:val="none" w:sz="0" w:space="0" w:color="FFFFFF"/>
            </w:tcBorders>
            <w:shd w:val="clear" w:color="auto" w:fill="007B62"/>
            <w:tcMar>
              <w:top w:w="100" w:type="dxa"/>
              <w:left w:w="200" w:type="dxa"/>
              <w:bottom w:w="100" w:type="dxa"/>
              <w:right w:w="200" w:type="dxa"/>
            </w:tcMar>
          </w:tcPr>
          <w:p w14:paraId="3ED51EA7" w14:textId="38084109" w:rsidR="004B7931" w:rsidRDefault="00000000">
            <w:proofErr w:type="gramStart"/>
            <w:r>
              <w:rPr>
                <w:b/>
                <w:bCs/>
                <w:color w:val="FFFFFF"/>
                <w:sz w:val="22"/>
                <w:szCs w:val="22"/>
              </w:rPr>
              <w:t>2.</w:t>
            </w:r>
            <w:r w:rsidR="00311DC5">
              <w:rPr>
                <w:b/>
                <w:bCs/>
                <w:color w:val="FFFFFF"/>
                <w:sz w:val="22"/>
                <w:szCs w:val="22"/>
              </w:rPr>
              <w:t>2</w:t>
            </w:r>
            <w:r>
              <w:rPr>
                <w:b/>
                <w:bCs/>
                <w:color w:val="FFFFFF"/>
                <w:sz w:val="22"/>
                <w:szCs w:val="22"/>
              </w:rPr>
              <w:t xml:space="preserve">  KYC</w:t>
            </w:r>
            <w:proofErr w:type="gramEnd"/>
            <w:r>
              <w:rPr>
                <w:b/>
                <w:bCs/>
                <w:color w:val="FFFFFF"/>
                <w:sz w:val="22"/>
                <w:szCs w:val="22"/>
              </w:rPr>
              <w:t xml:space="preserve"> and Anti-Money Laundering (AML) Protocols</w:t>
            </w:r>
          </w:p>
        </w:tc>
      </w:tr>
    </w:tbl>
    <w:p w14:paraId="22F6D96C" w14:textId="77777777" w:rsidR="004B7931" w:rsidRDefault="004B7931">
      <w:pPr>
        <w:spacing w:before="60" w:after="40"/>
      </w:pPr>
    </w:p>
    <w:p w14:paraId="72FFC4BF" w14:textId="77777777" w:rsidR="004B7931" w:rsidRDefault="00000000">
      <w:pPr>
        <w:spacing w:before="80" w:after="80"/>
      </w:pPr>
      <w:r>
        <w:t>FSPs must submit evidence demonstrating:</w:t>
      </w:r>
    </w:p>
    <w:p w14:paraId="592BBC49" w14:textId="77777777" w:rsidR="004B7931" w:rsidRDefault="00000000">
      <w:pPr>
        <w:spacing w:before="40" w:after="40"/>
        <w:ind w:left="720" w:hanging="360"/>
      </w:pPr>
      <w:r>
        <w:rPr>
          <w:sz w:val="19"/>
          <w:szCs w:val="19"/>
        </w:rPr>
        <w:t>•  Documented Know Your Customer (KYC) procedures aligned with international standards (FATF/</w:t>
      </w:r>
      <w:proofErr w:type="spellStart"/>
      <w:r>
        <w:rPr>
          <w:sz w:val="19"/>
          <w:szCs w:val="19"/>
        </w:rPr>
        <w:t>CBoS</w:t>
      </w:r>
      <w:proofErr w:type="spellEnd"/>
      <w:r>
        <w:rPr>
          <w:sz w:val="19"/>
          <w:szCs w:val="19"/>
        </w:rPr>
        <w:t xml:space="preserve"> requirements);</w:t>
      </w:r>
    </w:p>
    <w:p w14:paraId="7DE321BF" w14:textId="77777777" w:rsidR="004B7931" w:rsidRDefault="00000000">
      <w:pPr>
        <w:spacing w:before="40" w:after="40"/>
        <w:ind w:left="720" w:hanging="360"/>
      </w:pPr>
      <w:r>
        <w:rPr>
          <w:sz w:val="19"/>
          <w:szCs w:val="19"/>
        </w:rPr>
        <w:t>•  Anti-Money Laundering (AML) and Counter-Terrorist Financing (CTF) policies that meet both national and relevant international standards;</w:t>
      </w:r>
    </w:p>
    <w:p w14:paraId="0D928571" w14:textId="77777777" w:rsidR="004B7931" w:rsidRDefault="00000000">
      <w:pPr>
        <w:spacing w:before="40" w:after="40"/>
        <w:ind w:left="720" w:hanging="360"/>
      </w:pPr>
      <w:r>
        <w:rPr>
          <w:sz w:val="19"/>
          <w:szCs w:val="19"/>
        </w:rPr>
        <w:t>•  Evidence of staff training on KYC/AML compliance (training records or certification).</w:t>
      </w:r>
    </w:p>
    <w:p w14:paraId="4915E67D" w14:textId="77777777" w:rsidR="004B7931" w:rsidRDefault="004B7931">
      <w:pPr>
        <w:spacing w:before="12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7B62"/>
        <w:tblCellMar>
          <w:left w:w="10" w:type="dxa"/>
          <w:right w:w="10" w:type="dxa"/>
        </w:tblCellMar>
        <w:tblLook w:val="04A0" w:firstRow="1" w:lastRow="0" w:firstColumn="1" w:lastColumn="0" w:noHBand="0" w:noVBand="1"/>
      </w:tblPr>
      <w:tblGrid>
        <w:gridCol w:w="9360"/>
      </w:tblGrid>
      <w:tr w:rsidR="004B7931" w14:paraId="4DB873E5" w14:textId="77777777" w:rsidTr="00311DC5">
        <w:tc>
          <w:tcPr>
            <w:tcW w:w="9360" w:type="dxa"/>
            <w:tcBorders>
              <w:top w:val="none" w:sz="0" w:space="0" w:color="FFFFFF"/>
              <w:left w:val="none" w:sz="0" w:space="0" w:color="FFFFFF"/>
              <w:bottom w:val="none" w:sz="0" w:space="0" w:color="FFFFFF"/>
              <w:right w:val="none" w:sz="0" w:space="0" w:color="FFFFFF"/>
            </w:tcBorders>
            <w:shd w:val="clear" w:color="auto" w:fill="007B62"/>
            <w:tcMar>
              <w:top w:w="100" w:type="dxa"/>
              <w:left w:w="200" w:type="dxa"/>
              <w:bottom w:w="100" w:type="dxa"/>
              <w:right w:w="200" w:type="dxa"/>
            </w:tcMar>
          </w:tcPr>
          <w:p w14:paraId="68382A37" w14:textId="1875877D" w:rsidR="004B7931" w:rsidRDefault="00000000">
            <w:proofErr w:type="gramStart"/>
            <w:r>
              <w:rPr>
                <w:b/>
                <w:bCs/>
                <w:color w:val="FFFFFF"/>
                <w:sz w:val="22"/>
                <w:szCs w:val="22"/>
              </w:rPr>
              <w:t>2.</w:t>
            </w:r>
            <w:r w:rsidR="00311DC5">
              <w:rPr>
                <w:b/>
                <w:bCs/>
                <w:color w:val="FFFFFF"/>
                <w:sz w:val="22"/>
                <w:szCs w:val="22"/>
              </w:rPr>
              <w:t>3</w:t>
            </w:r>
            <w:r>
              <w:rPr>
                <w:b/>
                <w:bCs/>
                <w:color w:val="FFFFFF"/>
                <w:sz w:val="22"/>
                <w:szCs w:val="22"/>
              </w:rPr>
              <w:t xml:space="preserve">  Professional</w:t>
            </w:r>
            <w:proofErr w:type="gramEnd"/>
            <w:r>
              <w:rPr>
                <w:b/>
                <w:bCs/>
                <w:color w:val="FFFFFF"/>
                <w:sz w:val="22"/>
                <w:szCs w:val="22"/>
              </w:rPr>
              <w:t xml:space="preserve"> Indemnity and Risk Coverage</w:t>
            </w:r>
          </w:p>
        </w:tc>
      </w:tr>
    </w:tbl>
    <w:p w14:paraId="3842F1F5" w14:textId="77777777" w:rsidR="004B7931" w:rsidRDefault="004B7931">
      <w:pPr>
        <w:spacing w:before="60" w:after="40"/>
      </w:pPr>
    </w:p>
    <w:p w14:paraId="7B490EB4" w14:textId="77777777" w:rsidR="004B7931" w:rsidRDefault="00000000">
      <w:pPr>
        <w:spacing w:before="40" w:after="40"/>
        <w:ind w:left="720" w:hanging="360"/>
      </w:pPr>
      <w:r>
        <w:rPr>
          <w:sz w:val="19"/>
          <w:szCs w:val="19"/>
        </w:rPr>
        <w:t>•  Proof of current professional indemnity insurance or equivalent risk coverage for the secure transit and distribution of cash and/or electronic transfers at scale;</w:t>
      </w:r>
    </w:p>
    <w:p w14:paraId="3CC61344" w14:textId="77777777" w:rsidR="004B7931" w:rsidRDefault="00000000">
      <w:pPr>
        <w:spacing w:before="40" w:after="40"/>
        <w:ind w:left="720" w:hanging="360"/>
      </w:pPr>
      <w:r>
        <w:rPr>
          <w:sz w:val="19"/>
          <w:szCs w:val="19"/>
        </w:rPr>
        <w:t>•  Details of insurance provider and coverage limits.</w:t>
      </w:r>
    </w:p>
    <w:p w14:paraId="15DDE58E" w14:textId="77777777" w:rsidR="004B7931" w:rsidRDefault="00000000">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7B62"/>
        <w:tblCellMar>
          <w:left w:w="10" w:type="dxa"/>
          <w:right w:w="10" w:type="dxa"/>
        </w:tblCellMar>
        <w:tblLook w:val="04A0" w:firstRow="1" w:lastRow="0" w:firstColumn="1" w:lastColumn="0" w:noHBand="0" w:noVBand="1"/>
      </w:tblPr>
      <w:tblGrid>
        <w:gridCol w:w="9360"/>
      </w:tblGrid>
      <w:tr w:rsidR="004B7931" w14:paraId="5E1DA381" w14:textId="77777777" w:rsidTr="00311DC5">
        <w:tc>
          <w:tcPr>
            <w:tcW w:w="9360" w:type="dxa"/>
            <w:tcBorders>
              <w:top w:val="none" w:sz="0" w:space="0" w:color="FFFFFF"/>
              <w:left w:val="none" w:sz="0" w:space="0" w:color="FFFFFF"/>
              <w:bottom w:val="none" w:sz="0" w:space="0" w:color="FFFFFF"/>
              <w:right w:val="none" w:sz="0" w:space="0" w:color="FFFFFF"/>
            </w:tcBorders>
            <w:shd w:val="clear" w:color="auto" w:fill="007B62"/>
            <w:tcMar>
              <w:top w:w="140" w:type="dxa"/>
              <w:left w:w="220" w:type="dxa"/>
              <w:bottom w:w="140" w:type="dxa"/>
              <w:right w:w="220" w:type="dxa"/>
            </w:tcMar>
          </w:tcPr>
          <w:p w14:paraId="7CBC47DB" w14:textId="77777777" w:rsidR="004B7931" w:rsidRDefault="00000000">
            <w:r>
              <w:rPr>
                <w:b/>
                <w:bCs/>
                <w:color w:val="FFFFFF"/>
                <w:sz w:val="26"/>
                <w:szCs w:val="26"/>
              </w:rPr>
              <w:lastRenderedPageBreak/>
              <w:t>SECTION 3: TECHNICAL AND OPERATIONAL CAPACITY</w:t>
            </w:r>
          </w:p>
        </w:tc>
      </w:tr>
    </w:tbl>
    <w:p w14:paraId="32166AF3" w14:textId="77777777" w:rsidR="004B7931" w:rsidRDefault="004B7931">
      <w:pPr>
        <w:spacing w:before="8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7B62"/>
        <w:tblCellMar>
          <w:left w:w="10" w:type="dxa"/>
          <w:right w:w="10" w:type="dxa"/>
        </w:tblCellMar>
        <w:tblLook w:val="04A0" w:firstRow="1" w:lastRow="0" w:firstColumn="1" w:lastColumn="0" w:noHBand="0" w:noVBand="1"/>
      </w:tblPr>
      <w:tblGrid>
        <w:gridCol w:w="9360"/>
      </w:tblGrid>
      <w:tr w:rsidR="004B7931" w14:paraId="3F0D3F8C" w14:textId="77777777" w:rsidTr="00311DC5">
        <w:tc>
          <w:tcPr>
            <w:tcW w:w="9360" w:type="dxa"/>
            <w:tcBorders>
              <w:top w:val="none" w:sz="0" w:space="0" w:color="FFFFFF"/>
              <w:left w:val="none" w:sz="0" w:space="0" w:color="FFFFFF"/>
              <w:bottom w:val="none" w:sz="0" w:space="0" w:color="FFFFFF"/>
              <w:right w:val="none" w:sz="0" w:space="0" w:color="FFFFFF"/>
            </w:tcBorders>
            <w:shd w:val="clear" w:color="auto" w:fill="007B62"/>
            <w:tcMar>
              <w:top w:w="100" w:type="dxa"/>
              <w:left w:w="200" w:type="dxa"/>
              <w:bottom w:w="100" w:type="dxa"/>
              <w:right w:w="200" w:type="dxa"/>
            </w:tcMar>
          </w:tcPr>
          <w:p w14:paraId="2111B303" w14:textId="77777777" w:rsidR="004B7931" w:rsidRDefault="00000000">
            <w:proofErr w:type="gramStart"/>
            <w:r>
              <w:rPr>
                <w:b/>
                <w:bCs/>
                <w:color w:val="FFFFFF"/>
                <w:sz w:val="22"/>
                <w:szCs w:val="22"/>
              </w:rPr>
              <w:t>3.1  Geographic</w:t>
            </w:r>
            <w:proofErr w:type="gramEnd"/>
            <w:r>
              <w:rPr>
                <w:b/>
                <w:bCs/>
                <w:color w:val="FFFFFF"/>
                <w:sz w:val="22"/>
                <w:szCs w:val="22"/>
              </w:rPr>
              <w:t xml:space="preserve"> Coverage and Last-Mile Reach</w:t>
            </w:r>
          </w:p>
        </w:tc>
      </w:tr>
    </w:tbl>
    <w:p w14:paraId="7A4BC64E" w14:textId="77777777" w:rsidR="004B7931" w:rsidRDefault="004B7931">
      <w:pPr>
        <w:spacing w:before="60" w:after="40"/>
      </w:pPr>
    </w:p>
    <w:p w14:paraId="4803A67B" w14:textId="77777777" w:rsidR="004B7931" w:rsidRDefault="00000000">
      <w:pPr>
        <w:spacing w:before="80" w:after="80"/>
      </w:pPr>
      <w:r>
        <w:t>Applicants must provide:</w:t>
      </w:r>
    </w:p>
    <w:p w14:paraId="4F16982C" w14:textId="77777777" w:rsidR="004B7931" w:rsidRDefault="00000000">
      <w:pPr>
        <w:spacing w:before="40" w:after="40"/>
        <w:ind w:left="720" w:hanging="360"/>
      </w:pPr>
      <w:r>
        <w:rPr>
          <w:sz w:val="19"/>
          <w:szCs w:val="19"/>
        </w:rPr>
        <w:t>•  A comprehensive list of active branches, sub-branches, and licensed agents by state and locality;</w:t>
      </w:r>
    </w:p>
    <w:p w14:paraId="30D8A182" w14:textId="6A4798BD" w:rsidR="004B7931" w:rsidRDefault="00000000">
      <w:pPr>
        <w:spacing w:before="40" w:after="40"/>
        <w:ind w:left="720" w:hanging="360"/>
      </w:pPr>
      <w:r>
        <w:rPr>
          <w:sz w:val="19"/>
          <w:szCs w:val="19"/>
        </w:rPr>
        <w:t>•  Specific coverage in ADRA Sudan’s priority states (Khartoum, North Darfur, West Darfur, Blue Nile, South Kordofan, North Kordofan, White Nile, Kassala, Ge</w:t>
      </w:r>
      <w:r w:rsidR="00311DC5">
        <w:rPr>
          <w:sz w:val="19"/>
          <w:szCs w:val="19"/>
        </w:rPr>
        <w:t>zira</w:t>
      </w:r>
      <w:r>
        <w:rPr>
          <w:sz w:val="19"/>
          <w:szCs w:val="19"/>
        </w:rPr>
        <w:t>, River Nile, Red Sea);</w:t>
      </w:r>
    </w:p>
    <w:p w14:paraId="01B8C3AF" w14:textId="77777777" w:rsidR="004B7931" w:rsidRDefault="00000000">
      <w:pPr>
        <w:spacing w:before="40" w:after="40"/>
        <w:ind w:left="720" w:hanging="360"/>
      </w:pPr>
      <w:r>
        <w:rPr>
          <w:sz w:val="19"/>
          <w:szCs w:val="19"/>
        </w:rPr>
        <w:t>•  Evidence of “last-mile” reach into rural, peri-urban, or conflict-affected areas;</w:t>
      </w:r>
    </w:p>
    <w:p w14:paraId="2837C0AE" w14:textId="77777777" w:rsidR="004B7931" w:rsidRDefault="00000000">
      <w:pPr>
        <w:spacing w:before="40" w:after="40"/>
        <w:ind w:left="720" w:hanging="360"/>
      </w:pPr>
      <w:r>
        <w:rPr>
          <w:sz w:val="19"/>
          <w:szCs w:val="19"/>
        </w:rPr>
        <w:t>•  Maps or georeferenced data showing service points (if available).</w:t>
      </w:r>
    </w:p>
    <w:p w14:paraId="7DE79E37" w14:textId="77777777" w:rsidR="004B7931" w:rsidRDefault="004B7931">
      <w:pPr>
        <w:spacing w:before="12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7B62"/>
        <w:tblCellMar>
          <w:left w:w="10" w:type="dxa"/>
          <w:right w:w="10" w:type="dxa"/>
        </w:tblCellMar>
        <w:tblLook w:val="04A0" w:firstRow="1" w:lastRow="0" w:firstColumn="1" w:lastColumn="0" w:noHBand="0" w:noVBand="1"/>
      </w:tblPr>
      <w:tblGrid>
        <w:gridCol w:w="9360"/>
      </w:tblGrid>
      <w:tr w:rsidR="004B7931" w14:paraId="522D971A" w14:textId="77777777" w:rsidTr="00311DC5">
        <w:tc>
          <w:tcPr>
            <w:tcW w:w="9360" w:type="dxa"/>
            <w:tcBorders>
              <w:top w:val="none" w:sz="0" w:space="0" w:color="FFFFFF"/>
              <w:left w:val="none" w:sz="0" w:space="0" w:color="FFFFFF"/>
              <w:bottom w:val="none" w:sz="0" w:space="0" w:color="FFFFFF"/>
              <w:right w:val="none" w:sz="0" w:space="0" w:color="FFFFFF"/>
            </w:tcBorders>
            <w:shd w:val="clear" w:color="auto" w:fill="007B62"/>
            <w:tcMar>
              <w:top w:w="100" w:type="dxa"/>
              <w:left w:w="200" w:type="dxa"/>
              <w:bottom w:w="100" w:type="dxa"/>
              <w:right w:w="200" w:type="dxa"/>
            </w:tcMar>
          </w:tcPr>
          <w:p w14:paraId="39AD8E01" w14:textId="77777777" w:rsidR="004B7931" w:rsidRDefault="00000000">
            <w:proofErr w:type="gramStart"/>
            <w:r>
              <w:rPr>
                <w:b/>
                <w:bCs/>
                <w:color w:val="FFFFFF"/>
                <w:sz w:val="22"/>
                <w:szCs w:val="22"/>
              </w:rPr>
              <w:t>3.2  Liquidity</w:t>
            </w:r>
            <w:proofErr w:type="gramEnd"/>
            <w:r>
              <w:rPr>
                <w:b/>
                <w:bCs/>
                <w:color w:val="FFFFFF"/>
                <w:sz w:val="22"/>
                <w:szCs w:val="22"/>
              </w:rPr>
              <w:t xml:space="preserve"> Management Capacity</w:t>
            </w:r>
          </w:p>
        </w:tc>
      </w:tr>
    </w:tbl>
    <w:p w14:paraId="3A0A9903" w14:textId="77777777" w:rsidR="004B7931" w:rsidRDefault="004B7931">
      <w:pPr>
        <w:spacing w:before="60" w:after="40"/>
      </w:pPr>
    </w:p>
    <w:p w14:paraId="439CD664" w14:textId="77777777" w:rsidR="004B7931" w:rsidRDefault="00000000">
      <w:pPr>
        <w:spacing w:before="80" w:after="80"/>
      </w:pPr>
      <w:r>
        <w:t>Given Sudan’s ongoing liquidity crisis, FSPs must describe:</w:t>
      </w:r>
    </w:p>
    <w:p w14:paraId="72D98D0C" w14:textId="77777777" w:rsidR="004B7931" w:rsidRDefault="00000000">
      <w:pPr>
        <w:spacing w:before="40" w:after="40"/>
        <w:ind w:left="720" w:hanging="360"/>
      </w:pPr>
      <w:r>
        <w:rPr>
          <w:sz w:val="19"/>
          <w:szCs w:val="19"/>
        </w:rPr>
        <w:t>•  Their demonstrated ability to guarantee cash liquidity for large-scale distributions (minimum 5,000 households per cycle; up to 50,000+ for large programmes);</w:t>
      </w:r>
    </w:p>
    <w:p w14:paraId="1F04F395" w14:textId="77777777" w:rsidR="004B7931" w:rsidRDefault="00000000">
      <w:pPr>
        <w:spacing w:before="40" w:after="40"/>
        <w:ind w:left="720" w:hanging="360"/>
      </w:pPr>
      <w:r>
        <w:rPr>
          <w:sz w:val="19"/>
          <w:szCs w:val="19"/>
        </w:rPr>
        <w:t>•  Arrangements with the Central Bank of Sudan or correspondent banks to ensure cash availability;</w:t>
      </w:r>
    </w:p>
    <w:p w14:paraId="1C01561A" w14:textId="77777777" w:rsidR="004B7931" w:rsidRDefault="00000000">
      <w:pPr>
        <w:spacing w:before="40" w:after="40"/>
        <w:ind w:left="720" w:hanging="360"/>
      </w:pPr>
      <w:r>
        <w:rPr>
          <w:sz w:val="19"/>
          <w:szCs w:val="19"/>
        </w:rPr>
        <w:t>•  A Liquidity Contingency Plan describing how the FSP will guarantee payments in the event of banking system disruptions, internet blackouts, or security incidents in a target region.</w:t>
      </w:r>
    </w:p>
    <w:p w14:paraId="7A50D50B" w14:textId="77777777" w:rsidR="004B7931" w:rsidRDefault="004B7931">
      <w:pPr>
        <w:spacing w:before="12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7B62"/>
        <w:tblCellMar>
          <w:left w:w="10" w:type="dxa"/>
          <w:right w:w="10" w:type="dxa"/>
        </w:tblCellMar>
        <w:tblLook w:val="04A0" w:firstRow="1" w:lastRow="0" w:firstColumn="1" w:lastColumn="0" w:noHBand="0" w:noVBand="1"/>
      </w:tblPr>
      <w:tblGrid>
        <w:gridCol w:w="9360"/>
      </w:tblGrid>
      <w:tr w:rsidR="004B7931" w14:paraId="3F2D30FB" w14:textId="77777777" w:rsidTr="00311DC5">
        <w:tc>
          <w:tcPr>
            <w:tcW w:w="9360" w:type="dxa"/>
            <w:tcBorders>
              <w:top w:val="none" w:sz="0" w:space="0" w:color="FFFFFF"/>
              <w:left w:val="none" w:sz="0" w:space="0" w:color="FFFFFF"/>
              <w:bottom w:val="none" w:sz="0" w:space="0" w:color="FFFFFF"/>
              <w:right w:val="none" w:sz="0" w:space="0" w:color="FFFFFF"/>
            </w:tcBorders>
            <w:shd w:val="clear" w:color="auto" w:fill="007B62"/>
            <w:tcMar>
              <w:top w:w="100" w:type="dxa"/>
              <w:left w:w="200" w:type="dxa"/>
              <w:bottom w:w="100" w:type="dxa"/>
              <w:right w:w="200" w:type="dxa"/>
            </w:tcMar>
          </w:tcPr>
          <w:p w14:paraId="0A0A10A5" w14:textId="77777777" w:rsidR="004B7931" w:rsidRDefault="00000000">
            <w:proofErr w:type="gramStart"/>
            <w:r>
              <w:rPr>
                <w:b/>
                <w:bCs/>
                <w:color w:val="FFFFFF"/>
                <w:sz w:val="22"/>
                <w:szCs w:val="22"/>
              </w:rPr>
              <w:t>3.3  Delivery</w:t>
            </w:r>
            <w:proofErr w:type="gramEnd"/>
            <w:r>
              <w:rPr>
                <w:b/>
                <w:bCs/>
                <w:color w:val="FFFFFF"/>
                <w:sz w:val="22"/>
                <w:szCs w:val="22"/>
              </w:rPr>
              <w:t xml:space="preserve"> Modalities</w:t>
            </w:r>
          </w:p>
        </w:tc>
      </w:tr>
    </w:tbl>
    <w:p w14:paraId="43BCD903" w14:textId="77777777" w:rsidR="004B7931" w:rsidRDefault="004B7931">
      <w:pPr>
        <w:spacing w:before="60" w:after="40"/>
      </w:pPr>
    </w:p>
    <w:p w14:paraId="3EDE1B09" w14:textId="77777777" w:rsidR="004B7931" w:rsidRDefault="00000000">
      <w:pPr>
        <w:spacing w:before="80" w:after="80"/>
      </w:pPr>
      <w:r>
        <w:t>Applicants must confirm which of the following modalities they can support and provide supporting technical documentation for each:</w:t>
      </w:r>
    </w:p>
    <w:p w14:paraId="69C00507" w14:textId="77777777" w:rsidR="004B7931" w:rsidRDefault="00000000">
      <w:pPr>
        <w:spacing w:before="40" w:after="40"/>
        <w:ind w:left="720" w:hanging="360"/>
      </w:pPr>
      <w:r>
        <w:rPr>
          <w:sz w:val="19"/>
          <w:szCs w:val="19"/>
        </w:rPr>
        <w:t xml:space="preserve">•  </w:t>
      </w:r>
      <w:proofErr w:type="gramStart"/>
      <w:r>
        <w:rPr>
          <w:sz w:val="19"/>
          <w:szCs w:val="19"/>
        </w:rPr>
        <w:t>Over-the-Counter</w:t>
      </w:r>
      <w:proofErr w:type="gramEnd"/>
      <w:r>
        <w:rPr>
          <w:sz w:val="19"/>
          <w:szCs w:val="19"/>
        </w:rPr>
        <w:t xml:space="preserve"> (OTC): Number of active cash-out points by state; average daily throughput per point.</w:t>
      </w:r>
    </w:p>
    <w:p w14:paraId="068DD8CE" w14:textId="77777777" w:rsidR="004B7931" w:rsidRDefault="00000000">
      <w:pPr>
        <w:spacing w:before="40" w:after="40"/>
        <w:ind w:left="720" w:hanging="360"/>
      </w:pPr>
      <w:r>
        <w:rPr>
          <w:sz w:val="19"/>
          <w:szCs w:val="19"/>
        </w:rPr>
        <w:t>•  Mobile Money: Platform name and mobile network operator partnerships; SMS-based transfer capability for unregistered users.</w:t>
      </w:r>
    </w:p>
    <w:p w14:paraId="0AC30299" w14:textId="77777777" w:rsidR="004B7931" w:rsidRDefault="00000000">
      <w:pPr>
        <w:spacing w:before="40" w:after="40"/>
        <w:ind w:left="720" w:hanging="360"/>
      </w:pPr>
      <w:r>
        <w:rPr>
          <w:sz w:val="19"/>
          <w:szCs w:val="19"/>
        </w:rPr>
        <w:t>•  Smart/Pre-Paid Cards: System description (online, offline, hybrid); card issuance timeframes.</w:t>
      </w:r>
    </w:p>
    <w:p w14:paraId="76475E0D" w14:textId="77777777" w:rsidR="004B7931" w:rsidRDefault="00000000">
      <w:pPr>
        <w:spacing w:before="40" w:after="40"/>
        <w:ind w:left="720" w:hanging="360"/>
      </w:pPr>
      <w:r>
        <w:rPr>
          <w:sz w:val="19"/>
          <w:szCs w:val="19"/>
        </w:rPr>
        <w:t>•  Direct Delivery: Armoured vehicle fleet description; security protocols; operational states.</w:t>
      </w:r>
    </w:p>
    <w:p w14:paraId="2AF01AF3" w14:textId="77777777" w:rsidR="004B7931" w:rsidRDefault="004B7931">
      <w:pPr>
        <w:spacing w:before="12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B7931" w14:paraId="29FF4301" w14:textId="77777777" w:rsidTr="00311DC5">
        <w:tc>
          <w:tcPr>
            <w:tcW w:w="9360" w:type="dxa"/>
            <w:tcBorders>
              <w:top w:val="none" w:sz="0" w:space="0" w:color="FFFFFF"/>
              <w:left w:val="none" w:sz="0" w:space="0" w:color="FFFFFF"/>
              <w:bottom w:val="none" w:sz="0" w:space="0" w:color="FFFFFF"/>
              <w:right w:val="none" w:sz="0" w:space="0" w:color="FFFFFF"/>
            </w:tcBorders>
            <w:shd w:val="clear" w:color="auto" w:fill="007B62"/>
            <w:tcMar>
              <w:top w:w="100" w:type="dxa"/>
              <w:left w:w="200" w:type="dxa"/>
              <w:bottom w:w="100" w:type="dxa"/>
              <w:right w:w="200" w:type="dxa"/>
            </w:tcMar>
          </w:tcPr>
          <w:p w14:paraId="5846AA47" w14:textId="77777777" w:rsidR="004B7931" w:rsidRDefault="00000000">
            <w:proofErr w:type="gramStart"/>
            <w:r>
              <w:rPr>
                <w:b/>
                <w:bCs/>
                <w:color w:val="FFFFFF"/>
                <w:sz w:val="22"/>
                <w:szCs w:val="22"/>
              </w:rPr>
              <w:t>3.4  Throughput</w:t>
            </w:r>
            <w:proofErr w:type="gramEnd"/>
            <w:r>
              <w:rPr>
                <w:b/>
                <w:bCs/>
                <w:color w:val="FFFFFF"/>
                <w:sz w:val="22"/>
                <w:szCs w:val="22"/>
              </w:rPr>
              <w:t xml:space="preserve"> and Processing Speed</w:t>
            </w:r>
          </w:p>
        </w:tc>
      </w:tr>
    </w:tbl>
    <w:p w14:paraId="40BA55B4" w14:textId="77777777" w:rsidR="004B7931" w:rsidRDefault="004B7931">
      <w:pPr>
        <w:spacing w:before="60" w:after="40"/>
      </w:pPr>
    </w:p>
    <w:p w14:paraId="4776BA26" w14:textId="77777777" w:rsidR="004B7931" w:rsidRDefault="00000000">
      <w:pPr>
        <w:spacing w:before="80" w:after="80"/>
      </w:pPr>
      <w:r>
        <w:t>FSPs must demonstrate capacity to:</w:t>
      </w:r>
    </w:p>
    <w:p w14:paraId="30D022E4" w14:textId="77777777" w:rsidR="004B7931" w:rsidRDefault="00000000">
      <w:pPr>
        <w:spacing w:before="40" w:after="40"/>
        <w:ind w:left="720" w:hanging="360"/>
      </w:pPr>
      <w:r>
        <w:rPr>
          <w:sz w:val="19"/>
          <w:szCs w:val="19"/>
        </w:rPr>
        <w:t>•  Process and complete a minimum of 5,000 household transfers within a 48–72-hour window;</w:t>
      </w:r>
    </w:p>
    <w:p w14:paraId="3BD74B90" w14:textId="77777777" w:rsidR="004B7931" w:rsidRDefault="00000000">
      <w:pPr>
        <w:spacing w:before="40" w:after="40"/>
        <w:ind w:left="720" w:hanging="360"/>
      </w:pPr>
      <w:r>
        <w:rPr>
          <w:sz w:val="19"/>
          <w:szCs w:val="19"/>
        </w:rPr>
        <w:t>•  Scale to 20,000+ transfers within 5 business days when required;</w:t>
      </w:r>
    </w:p>
    <w:p w14:paraId="4D7A98C5" w14:textId="77777777" w:rsidR="004B7931" w:rsidRDefault="00000000">
      <w:pPr>
        <w:spacing w:before="40" w:after="40"/>
        <w:ind w:left="720" w:hanging="360"/>
      </w:pPr>
      <w:r>
        <w:rPr>
          <w:sz w:val="19"/>
          <w:szCs w:val="19"/>
        </w:rPr>
        <w:t>•  Manage beneficiary queuing and crowd management at distribution sites safely.</w:t>
      </w:r>
    </w:p>
    <w:p w14:paraId="7343A603" w14:textId="77777777" w:rsidR="004B7931" w:rsidRDefault="00000000">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7B62"/>
        <w:tblCellMar>
          <w:left w:w="10" w:type="dxa"/>
          <w:right w:w="10" w:type="dxa"/>
        </w:tblCellMar>
        <w:tblLook w:val="04A0" w:firstRow="1" w:lastRow="0" w:firstColumn="1" w:lastColumn="0" w:noHBand="0" w:noVBand="1"/>
      </w:tblPr>
      <w:tblGrid>
        <w:gridCol w:w="9360"/>
      </w:tblGrid>
      <w:tr w:rsidR="004B7931" w14:paraId="3AE8DE49" w14:textId="77777777" w:rsidTr="00311DC5">
        <w:tc>
          <w:tcPr>
            <w:tcW w:w="9360" w:type="dxa"/>
            <w:tcBorders>
              <w:top w:val="none" w:sz="0" w:space="0" w:color="FFFFFF"/>
              <w:left w:val="none" w:sz="0" w:space="0" w:color="FFFFFF"/>
              <w:bottom w:val="none" w:sz="0" w:space="0" w:color="FFFFFF"/>
              <w:right w:val="none" w:sz="0" w:space="0" w:color="FFFFFF"/>
            </w:tcBorders>
            <w:shd w:val="clear" w:color="auto" w:fill="007B62"/>
            <w:tcMar>
              <w:top w:w="140" w:type="dxa"/>
              <w:left w:w="220" w:type="dxa"/>
              <w:bottom w:w="140" w:type="dxa"/>
              <w:right w:w="220" w:type="dxa"/>
            </w:tcMar>
          </w:tcPr>
          <w:p w14:paraId="0544C93D" w14:textId="77777777" w:rsidR="004B7931" w:rsidRDefault="00000000">
            <w:r>
              <w:rPr>
                <w:b/>
                <w:bCs/>
                <w:color w:val="FFFFFF"/>
                <w:sz w:val="26"/>
                <w:szCs w:val="26"/>
              </w:rPr>
              <w:lastRenderedPageBreak/>
              <w:t>SECTION 4: FINANCIAL AND PRICING STRUCTURE</w:t>
            </w:r>
          </w:p>
        </w:tc>
      </w:tr>
    </w:tbl>
    <w:p w14:paraId="12A4680B" w14:textId="77777777" w:rsidR="004B7931" w:rsidRDefault="004B7931">
      <w:pPr>
        <w:spacing w:before="8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B7931" w14:paraId="3000C73F" w14:textId="77777777">
        <w:tc>
          <w:tcPr>
            <w:tcW w:w="9360" w:type="dxa"/>
            <w:tcBorders>
              <w:top w:val="single" w:sz="6" w:space="0" w:color="1F4E79"/>
              <w:left w:val="single" w:sz="6" w:space="0" w:color="1F4E79"/>
              <w:bottom w:val="single" w:sz="6" w:space="0" w:color="1F4E79"/>
              <w:right w:val="single" w:sz="6" w:space="0" w:color="1F4E79"/>
            </w:tcBorders>
            <w:shd w:val="clear" w:color="auto" w:fill="EAF2FA"/>
            <w:tcMar>
              <w:top w:w="120" w:type="dxa"/>
              <w:left w:w="200" w:type="dxa"/>
              <w:bottom w:w="120" w:type="dxa"/>
              <w:right w:w="200" w:type="dxa"/>
            </w:tcMar>
          </w:tcPr>
          <w:p w14:paraId="48383973" w14:textId="77777777" w:rsidR="004B7931" w:rsidRDefault="00000000">
            <w:r>
              <w:rPr>
                <w:sz w:val="19"/>
                <w:szCs w:val="19"/>
              </w:rPr>
              <w:t>Note: Pricing submitted at the EOI stage is indicative only and will be used for pre-qualification assessment. Final pricing will be negotiated at the RFP stage.</w:t>
            </w:r>
          </w:p>
        </w:tc>
      </w:tr>
    </w:tbl>
    <w:p w14:paraId="28E886E4" w14:textId="77777777" w:rsidR="004B7931" w:rsidRDefault="004B7931">
      <w:pPr>
        <w:spacing w:before="8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B7931" w14:paraId="384C8790" w14:textId="77777777" w:rsidTr="00311DC5">
        <w:tc>
          <w:tcPr>
            <w:tcW w:w="9360" w:type="dxa"/>
            <w:tcBorders>
              <w:top w:val="none" w:sz="0" w:space="0" w:color="FFFFFF"/>
              <w:left w:val="none" w:sz="0" w:space="0" w:color="FFFFFF"/>
              <w:bottom w:val="none" w:sz="0" w:space="0" w:color="FFFFFF"/>
              <w:right w:val="none" w:sz="0" w:space="0" w:color="FFFFFF"/>
            </w:tcBorders>
            <w:shd w:val="clear" w:color="auto" w:fill="007B62"/>
            <w:tcMar>
              <w:top w:w="100" w:type="dxa"/>
              <w:left w:w="200" w:type="dxa"/>
              <w:bottom w:w="100" w:type="dxa"/>
              <w:right w:w="200" w:type="dxa"/>
            </w:tcMar>
          </w:tcPr>
          <w:p w14:paraId="7B8BABD8" w14:textId="77777777" w:rsidR="004B7931" w:rsidRDefault="00000000">
            <w:proofErr w:type="gramStart"/>
            <w:r>
              <w:rPr>
                <w:b/>
                <w:bCs/>
                <w:color w:val="FFFFFF"/>
                <w:sz w:val="22"/>
                <w:szCs w:val="22"/>
              </w:rPr>
              <w:t>4.1  Service</w:t>
            </w:r>
            <w:proofErr w:type="gramEnd"/>
            <w:r>
              <w:rPr>
                <w:b/>
                <w:bCs/>
                <w:color w:val="FFFFFF"/>
                <w:sz w:val="22"/>
                <w:szCs w:val="22"/>
              </w:rPr>
              <w:t xml:space="preserve"> Fee Structure</w:t>
            </w:r>
          </w:p>
        </w:tc>
      </w:tr>
    </w:tbl>
    <w:p w14:paraId="6AF97028" w14:textId="77777777" w:rsidR="004B7931" w:rsidRDefault="004B7931">
      <w:pPr>
        <w:spacing w:before="60" w:after="40"/>
      </w:pPr>
    </w:p>
    <w:p w14:paraId="7E50AE5B" w14:textId="77777777" w:rsidR="004B7931" w:rsidRDefault="00000000">
      <w:pPr>
        <w:spacing w:before="80" w:after="80"/>
      </w:pPr>
      <w:r>
        <w:t>Applicants must provide an indicative breakdown of:</w:t>
      </w:r>
    </w:p>
    <w:p w14:paraId="783DD49D" w14:textId="77777777" w:rsidR="004B7931" w:rsidRDefault="00000000">
      <w:pPr>
        <w:spacing w:before="40" w:after="40"/>
        <w:ind w:left="720" w:hanging="360"/>
      </w:pPr>
      <w:r>
        <w:rPr>
          <w:sz w:val="19"/>
          <w:szCs w:val="19"/>
        </w:rPr>
        <w:t>•  Commission/service fee as a percentage of total transfer value (range expected: 1.5%–3.5%);</w:t>
      </w:r>
    </w:p>
    <w:p w14:paraId="7712791A" w14:textId="77777777" w:rsidR="004B7931" w:rsidRDefault="00000000">
      <w:pPr>
        <w:spacing w:before="40" w:after="40"/>
        <w:ind w:left="720" w:hanging="360"/>
      </w:pPr>
      <w:r>
        <w:rPr>
          <w:sz w:val="19"/>
          <w:szCs w:val="19"/>
        </w:rPr>
        <w:t>•  Any volume-based discount tiers (e.g., reduced rates for transfers exceeding a defined threshold);</w:t>
      </w:r>
    </w:p>
    <w:p w14:paraId="1ABCD435" w14:textId="77777777" w:rsidR="004B7931" w:rsidRDefault="00000000">
      <w:pPr>
        <w:spacing w:before="40" w:after="40"/>
        <w:ind w:left="720" w:hanging="360"/>
      </w:pPr>
      <w:r>
        <w:rPr>
          <w:sz w:val="19"/>
          <w:szCs w:val="19"/>
        </w:rPr>
        <w:t>•  Separate fee structures for each delivery modality offered.</w:t>
      </w:r>
    </w:p>
    <w:p w14:paraId="5925AF2C" w14:textId="77777777" w:rsidR="004B7931" w:rsidRDefault="004B7931">
      <w:pPr>
        <w:spacing w:before="12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7B62"/>
        <w:tblCellMar>
          <w:left w:w="10" w:type="dxa"/>
          <w:right w:w="10" w:type="dxa"/>
        </w:tblCellMar>
        <w:tblLook w:val="04A0" w:firstRow="1" w:lastRow="0" w:firstColumn="1" w:lastColumn="0" w:noHBand="0" w:noVBand="1"/>
      </w:tblPr>
      <w:tblGrid>
        <w:gridCol w:w="9360"/>
      </w:tblGrid>
      <w:tr w:rsidR="004B7931" w14:paraId="3824A94C" w14:textId="77777777" w:rsidTr="00311DC5">
        <w:tc>
          <w:tcPr>
            <w:tcW w:w="9360" w:type="dxa"/>
            <w:tcBorders>
              <w:top w:val="none" w:sz="0" w:space="0" w:color="FFFFFF"/>
              <w:left w:val="none" w:sz="0" w:space="0" w:color="FFFFFF"/>
              <w:bottom w:val="none" w:sz="0" w:space="0" w:color="FFFFFF"/>
              <w:right w:val="none" w:sz="0" w:space="0" w:color="FFFFFF"/>
            </w:tcBorders>
            <w:shd w:val="clear" w:color="auto" w:fill="007B62"/>
            <w:tcMar>
              <w:top w:w="100" w:type="dxa"/>
              <w:left w:w="200" w:type="dxa"/>
              <w:bottom w:w="100" w:type="dxa"/>
              <w:right w:w="200" w:type="dxa"/>
            </w:tcMar>
          </w:tcPr>
          <w:p w14:paraId="15BE147C" w14:textId="77777777" w:rsidR="004B7931" w:rsidRDefault="00000000">
            <w:proofErr w:type="gramStart"/>
            <w:r>
              <w:rPr>
                <w:b/>
                <w:bCs/>
                <w:color w:val="FFFFFF"/>
                <w:sz w:val="22"/>
                <w:szCs w:val="22"/>
              </w:rPr>
              <w:t>4.2  Beneficiary</w:t>
            </w:r>
            <w:proofErr w:type="gramEnd"/>
            <w:r>
              <w:rPr>
                <w:b/>
                <w:bCs/>
                <w:color w:val="FFFFFF"/>
                <w:sz w:val="22"/>
                <w:szCs w:val="22"/>
              </w:rPr>
              <w:t>-Facing Fees</w:t>
            </w:r>
          </w:p>
        </w:tc>
      </w:tr>
    </w:tbl>
    <w:p w14:paraId="717F90B0" w14:textId="77777777" w:rsidR="004B7931" w:rsidRDefault="004B7931">
      <w:pPr>
        <w:spacing w:before="60" w:after="40"/>
      </w:pPr>
    </w:p>
    <w:p w14:paraId="45DEA619" w14:textId="77777777" w:rsidR="004B7931" w:rsidRDefault="00000000">
      <w:pPr>
        <w:spacing w:before="80" w:after="80"/>
      </w:pPr>
      <w:r>
        <w:t>FSPs must clearly disclose all fees that may be charged directly to beneficiaries, including:</w:t>
      </w:r>
    </w:p>
    <w:p w14:paraId="0996F829" w14:textId="77777777" w:rsidR="004B7931" w:rsidRDefault="00000000">
      <w:pPr>
        <w:spacing w:before="40" w:after="40"/>
        <w:ind w:left="720" w:hanging="360"/>
      </w:pPr>
      <w:r>
        <w:rPr>
          <w:sz w:val="19"/>
          <w:szCs w:val="19"/>
        </w:rPr>
        <w:t>•  Withdrawal or cash-out fees;</w:t>
      </w:r>
    </w:p>
    <w:p w14:paraId="7FBADFA8" w14:textId="77777777" w:rsidR="004B7931" w:rsidRDefault="00000000">
      <w:pPr>
        <w:spacing w:before="40" w:after="40"/>
        <w:ind w:left="720" w:hanging="360"/>
      </w:pPr>
      <w:r>
        <w:rPr>
          <w:sz w:val="19"/>
          <w:szCs w:val="19"/>
        </w:rPr>
        <w:t>•  SMS alert or transaction notification fees;</w:t>
      </w:r>
    </w:p>
    <w:p w14:paraId="3F233B06" w14:textId="77777777" w:rsidR="004B7931" w:rsidRDefault="00000000">
      <w:pPr>
        <w:spacing w:before="40" w:after="40"/>
        <w:ind w:left="720" w:hanging="360"/>
      </w:pPr>
      <w:r>
        <w:rPr>
          <w:sz w:val="19"/>
          <w:szCs w:val="19"/>
        </w:rPr>
        <w:t>•  Account opening or registration fees;</w:t>
      </w:r>
    </w:p>
    <w:p w14:paraId="459C2CEC" w14:textId="77777777" w:rsidR="004B7931" w:rsidRDefault="00000000">
      <w:pPr>
        <w:spacing w:before="40" w:after="40"/>
        <w:ind w:left="720" w:hanging="360"/>
      </w:pPr>
      <w:r>
        <w:rPr>
          <w:sz w:val="19"/>
          <w:szCs w:val="19"/>
        </w:rPr>
        <w:t>•  Card issuance or replacement fees.</w:t>
      </w:r>
    </w:p>
    <w:p w14:paraId="1374281D" w14:textId="77777777" w:rsidR="004B7931" w:rsidRDefault="004B7931">
      <w:pPr>
        <w:spacing w:before="6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B7931" w14:paraId="57BC4905" w14:textId="77777777">
        <w:tc>
          <w:tcPr>
            <w:tcW w:w="9360" w:type="dxa"/>
            <w:tcBorders>
              <w:top w:val="single" w:sz="6" w:space="0" w:color="1F4E79"/>
              <w:left w:val="single" w:sz="6" w:space="0" w:color="1F4E79"/>
              <w:bottom w:val="single" w:sz="6" w:space="0" w:color="1F4E79"/>
              <w:right w:val="single" w:sz="6" w:space="0" w:color="1F4E79"/>
            </w:tcBorders>
            <w:shd w:val="clear" w:color="auto" w:fill="EAF2FA"/>
            <w:tcMar>
              <w:top w:w="120" w:type="dxa"/>
              <w:left w:w="200" w:type="dxa"/>
              <w:bottom w:w="120" w:type="dxa"/>
              <w:right w:w="200" w:type="dxa"/>
            </w:tcMar>
          </w:tcPr>
          <w:p w14:paraId="6A3393DC" w14:textId="77777777" w:rsidR="004B7931" w:rsidRDefault="00000000">
            <w:r>
              <w:rPr>
                <w:sz w:val="19"/>
                <w:szCs w:val="19"/>
              </w:rPr>
              <w:t>ADRA Sudan’s strong preference is for zero fees charged to beneficiaries at the point of transfer or withdrawal. Any beneficiary-facing fees must be clearly justified.</w:t>
            </w:r>
          </w:p>
        </w:tc>
      </w:tr>
    </w:tbl>
    <w:p w14:paraId="6D4A2672" w14:textId="77777777" w:rsidR="004B7931" w:rsidRDefault="004B7931">
      <w:pPr>
        <w:spacing w:before="12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7B62"/>
        <w:tblCellMar>
          <w:left w:w="10" w:type="dxa"/>
          <w:right w:w="10" w:type="dxa"/>
        </w:tblCellMar>
        <w:tblLook w:val="04A0" w:firstRow="1" w:lastRow="0" w:firstColumn="1" w:lastColumn="0" w:noHBand="0" w:noVBand="1"/>
      </w:tblPr>
      <w:tblGrid>
        <w:gridCol w:w="9360"/>
      </w:tblGrid>
      <w:tr w:rsidR="004B7931" w14:paraId="519BAB69" w14:textId="77777777" w:rsidTr="00311DC5">
        <w:tc>
          <w:tcPr>
            <w:tcW w:w="9360" w:type="dxa"/>
            <w:tcBorders>
              <w:top w:val="none" w:sz="0" w:space="0" w:color="FFFFFF"/>
              <w:left w:val="none" w:sz="0" w:space="0" w:color="FFFFFF"/>
              <w:bottom w:val="none" w:sz="0" w:space="0" w:color="FFFFFF"/>
              <w:right w:val="none" w:sz="0" w:space="0" w:color="FFFFFF"/>
            </w:tcBorders>
            <w:shd w:val="clear" w:color="auto" w:fill="007B62"/>
            <w:tcMar>
              <w:top w:w="100" w:type="dxa"/>
              <w:left w:w="200" w:type="dxa"/>
              <w:bottom w:w="100" w:type="dxa"/>
              <w:right w:w="200" w:type="dxa"/>
            </w:tcMar>
          </w:tcPr>
          <w:p w14:paraId="50B1D741" w14:textId="77777777" w:rsidR="004B7931" w:rsidRDefault="00000000">
            <w:proofErr w:type="gramStart"/>
            <w:r>
              <w:rPr>
                <w:b/>
                <w:bCs/>
                <w:color w:val="FFFFFF"/>
                <w:sz w:val="22"/>
                <w:szCs w:val="22"/>
              </w:rPr>
              <w:t>4.3  Currency</w:t>
            </w:r>
            <w:proofErr w:type="gramEnd"/>
            <w:r>
              <w:rPr>
                <w:b/>
                <w:bCs/>
                <w:color w:val="FFFFFF"/>
                <w:sz w:val="22"/>
                <w:szCs w:val="22"/>
              </w:rPr>
              <w:t xml:space="preserve"> and Exchange Rate Policy</w:t>
            </w:r>
          </w:p>
        </w:tc>
      </w:tr>
    </w:tbl>
    <w:p w14:paraId="5C0BA9F8" w14:textId="77777777" w:rsidR="004B7931" w:rsidRDefault="004B7931">
      <w:pPr>
        <w:spacing w:before="60" w:after="40"/>
      </w:pPr>
    </w:p>
    <w:p w14:paraId="46846C3B" w14:textId="77777777" w:rsidR="004B7931" w:rsidRDefault="00000000">
      <w:pPr>
        <w:spacing w:before="40" w:after="40"/>
        <w:ind w:left="720" w:hanging="360"/>
      </w:pPr>
      <w:r>
        <w:rPr>
          <w:sz w:val="19"/>
          <w:szCs w:val="19"/>
        </w:rPr>
        <w:t xml:space="preserve">•  For FSPs operating with multi-currency capability (USD/SDG): Describe the exchange rate mechanism and the source of reference rates used (e.g., </w:t>
      </w:r>
      <w:proofErr w:type="spellStart"/>
      <w:r>
        <w:rPr>
          <w:sz w:val="19"/>
          <w:szCs w:val="19"/>
        </w:rPr>
        <w:t>CBoS</w:t>
      </w:r>
      <w:proofErr w:type="spellEnd"/>
      <w:r>
        <w:rPr>
          <w:sz w:val="19"/>
          <w:szCs w:val="19"/>
        </w:rPr>
        <w:t xml:space="preserve"> official rate, parallel market rate, interbank rate);</w:t>
      </w:r>
    </w:p>
    <w:p w14:paraId="6138E4CE" w14:textId="77777777" w:rsidR="004B7931" w:rsidRDefault="00000000">
      <w:pPr>
        <w:spacing w:before="40" w:after="40"/>
        <w:ind w:left="720" w:hanging="360"/>
      </w:pPr>
      <w:r>
        <w:rPr>
          <w:sz w:val="19"/>
          <w:szCs w:val="19"/>
        </w:rPr>
        <w:t>•  Confirm transparency and frequency of rate disclosure to ADRA Sudan;</w:t>
      </w:r>
    </w:p>
    <w:p w14:paraId="5EAE96B7" w14:textId="77777777" w:rsidR="004B7931" w:rsidRDefault="00000000">
      <w:pPr>
        <w:spacing w:before="40" w:after="40"/>
        <w:ind w:left="720" w:hanging="360"/>
      </w:pPr>
      <w:r>
        <w:rPr>
          <w:sz w:val="19"/>
          <w:szCs w:val="19"/>
        </w:rPr>
        <w:t>•  Detail any spread or conversion fees applied.</w:t>
      </w:r>
    </w:p>
    <w:p w14:paraId="6AD8C930" w14:textId="77777777" w:rsidR="004B7931" w:rsidRDefault="00000000">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7B62"/>
        <w:tblCellMar>
          <w:left w:w="10" w:type="dxa"/>
          <w:right w:w="10" w:type="dxa"/>
        </w:tblCellMar>
        <w:tblLook w:val="04A0" w:firstRow="1" w:lastRow="0" w:firstColumn="1" w:lastColumn="0" w:noHBand="0" w:noVBand="1"/>
      </w:tblPr>
      <w:tblGrid>
        <w:gridCol w:w="9360"/>
      </w:tblGrid>
      <w:tr w:rsidR="004B7931" w14:paraId="56061E39" w14:textId="77777777" w:rsidTr="007F3EB6">
        <w:tc>
          <w:tcPr>
            <w:tcW w:w="9360" w:type="dxa"/>
            <w:tcBorders>
              <w:top w:val="none" w:sz="0" w:space="0" w:color="FFFFFF"/>
              <w:left w:val="none" w:sz="0" w:space="0" w:color="FFFFFF"/>
              <w:bottom w:val="none" w:sz="0" w:space="0" w:color="FFFFFF"/>
              <w:right w:val="none" w:sz="0" w:space="0" w:color="FFFFFF"/>
            </w:tcBorders>
            <w:shd w:val="clear" w:color="auto" w:fill="007B62"/>
            <w:tcMar>
              <w:top w:w="140" w:type="dxa"/>
              <w:left w:w="220" w:type="dxa"/>
              <w:bottom w:w="140" w:type="dxa"/>
              <w:right w:w="220" w:type="dxa"/>
            </w:tcMar>
          </w:tcPr>
          <w:p w14:paraId="19AB270F" w14:textId="77777777" w:rsidR="004B7931" w:rsidRDefault="00000000">
            <w:r>
              <w:rPr>
                <w:b/>
                <w:bCs/>
                <w:color w:val="FFFFFF"/>
                <w:sz w:val="26"/>
                <w:szCs w:val="26"/>
              </w:rPr>
              <w:lastRenderedPageBreak/>
              <w:t>SECTION 5: TECHNOLOGY, DATA PROTECTION, AND SECURITY</w:t>
            </w:r>
          </w:p>
        </w:tc>
      </w:tr>
    </w:tbl>
    <w:p w14:paraId="43C25E41" w14:textId="77777777" w:rsidR="004B7931" w:rsidRDefault="004B7931">
      <w:pPr>
        <w:spacing w:before="8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7B62"/>
        <w:tblCellMar>
          <w:left w:w="10" w:type="dxa"/>
          <w:right w:w="10" w:type="dxa"/>
        </w:tblCellMar>
        <w:tblLook w:val="04A0" w:firstRow="1" w:lastRow="0" w:firstColumn="1" w:lastColumn="0" w:noHBand="0" w:noVBand="1"/>
      </w:tblPr>
      <w:tblGrid>
        <w:gridCol w:w="9360"/>
      </w:tblGrid>
      <w:tr w:rsidR="004B7931" w14:paraId="1F353A0B" w14:textId="77777777" w:rsidTr="007F3EB6">
        <w:tc>
          <w:tcPr>
            <w:tcW w:w="9360" w:type="dxa"/>
            <w:tcBorders>
              <w:top w:val="none" w:sz="0" w:space="0" w:color="FFFFFF"/>
              <w:left w:val="none" w:sz="0" w:space="0" w:color="FFFFFF"/>
              <w:bottom w:val="none" w:sz="0" w:space="0" w:color="FFFFFF"/>
              <w:right w:val="none" w:sz="0" w:space="0" w:color="FFFFFF"/>
            </w:tcBorders>
            <w:shd w:val="clear" w:color="auto" w:fill="007B62"/>
            <w:tcMar>
              <w:top w:w="100" w:type="dxa"/>
              <w:left w:w="200" w:type="dxa"/>
              <w:bottom w:w="100" w:type="dxa"/>
              <w:right w:w="200" w:type="dxa"/>
            </w:tcMar>
          </w:tcPr>
          <w:p w14:paraId="12A6AC86" w14:textId="77777777" w:rsidR="004B7931" w:rsidRDefault="00000000">
            <w:proofErr w:type="gramStart"/>
            <w:r>
              <w:rPr>
                <w:b/>
                <w:bCs/>
                <w:color w:val="FFFFFF"/>
                <w:sz w:val="22"/>
                <w:szCs w:val="22"/>
              </w:rPr>
              <w:t>5.1  Data</w:t>
            </w:r>
            <w:proofErr w:type="gramEnd"/>
            <w:r>
              <w:rPr>
                <w:b/>
                <w:bCs/>
                <w:color w:val="FFFFFF"/>
                <w:sz w:val="22"/>
                <w:szCs w:val="22"/>
              </w:rPr>
              <w:t xml:space="preserve"> Protection and Beneficiary Privacy</w:t>
            </w:r>
          </w:p>
        </w:tc>
      </w:tr>
    </w:tbl>
    <w:p w14:paraId="580075A9" w14:textId="77777777" w:rsidR="004B7931" w:rsidRDefault="004B7931">
      <w:pPr>
        <w:spacing w:before="60" w:after="40"/>
      </w:pPr>
    </w:p>
    <w:p w14:paraId="24AEC10B" w14:textId="77777777" w:rsidR="004B7931" w:rsidRDefault="00000000">
      <w:pPr>
        <w:spacing w:before="80" w:after="80"/>
      </w:pPr>
      <w:r>
        <w:t>FSPs must describe:</w:t>
      </w:r>
    </w:p>
    <w:p w14:paraId="5F308502" w14:textId="77777777" w:rsidR="004B7931" w:rsidRDefault="00000000">
      <w:pPr>
        <w:spacing w:before="40" w:after="40"/>
        <w:ind w:left="720" w:hanging="360"/>
      </w:pPr>
      <w:r>
        <w:rPr>
          <w:sz w:val="19"/>
          <w:szCs w:val="19"/>
        </w:rPr>
        <w:t>•  Their data protection policy and how beneficiary personal data (names, biometrics, phone numbers, bank details) is collected, stored, and protected;</w:t>
      </w:r>
    </w:p>
    <w:p w14:paraId="636B788A" w14:textId="77777777" w:rsidR="004B7931" w:rsidRDefault="00000000">
      <w:pPr>
        <w:spacing w:before="40" w:after="40"/>
        <w:ind w:left="720" w:hanging="360"/>
      </w:pPr>
      <w:r>
        <w:rPr>
          <w:sz w:val="19"/>
          <w:szCs w:val="19"/>
        </w:rPr>
        <w:t>•  Compliance with relevant Sudanese data protection law and alignment with international standards (GDPR principles or equivalent);</w:t>
      </w:r>
    </w:p>
    <w:p w14:paraId="2CFC25AB" w14:textId="77777777" w:rsidR="004B7931" w:rsidRDefault="00000000">
      <w:pPr>
        <w:spacing w:before="40" w:after="40"/>
        <w:ind w:left="720" w:hanging="360"/>
      </w:pPr>
      <w:r>
        <w:rPr>
          <w:sz w:val="19"/>
          <w:szCs w:val="19"/>
        </w:rPr>
        <w:t>•  Data retention and deletion protocols, including post-programme data handling;</w:t>
      </w:r>
    </w:p>
    <w:p w14:paraId="603DDB4C" w14:textId="77777777" w:rsidR="004B7931" w:rsidRDefault="00000000">
      <w:pPr>
        <w:spacing w:before="40" w:after="40"/>
        <w:ind w:left="720" w:hanging="360"/>
      </w:pPr>
      <w:r>
        <w:rPr>
          <w:sz w:val="19"/>
          <w:szCs w:val="19"/>
        </w:rPr>
        <w:t>•  Access control measures to prevent unauthorised use of beneficiary data;</w:t>
      </w:r>
    </w:p>
    <w:p w14:paraId="4012EC12" w14:textId="77777777" w:rsidR="004B7931" w:rsidRDefault="00000000">
      <w:pPr>
        <w:spacing w:before="40" w:after="40"/>
        <w:ind w:left="720" w:hanging="360"/>
      </w:pPr>
      <w:r>
        <w:rPr>
          <w:sz w:val="19"/>
          <w:szCs w:val="19"/>
        </w:rPr>
        <w:t>•  Confirmation that beneficiary data will not be shared with third parties without ADRA Sudan’s written consent.</w:t>
      </w:r>
    </w:p>
    <w:p w14:paraId="30F732E0" w14:textId="77777777" w:rsidR="004B7931" w:rsidRDefault="004B7931">
      <w:pPr>
        <w:spacing w:before="12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B7931" w14:paraId="1CDA476B" w14:textId="77777777" w:rsidTr="007F3EB6">
        <w:tc>
          <w:tcPr>
            <w:tcW w:w="9360" w:type="dxa"/>
            <w:tcBorders>
              <w:top w:val="none" w:sz="0" w:space="0" w:color="FFFFFF"/>
              <w:left w:val="none" w:sz="0" w:space="0" w:color="FFFFFF"/>
              <w:bottom w:val="none" w:sz="0" w:space="0" w:color="FFFFFF"/>
              <w:right w:val="none" w:sz="0" w:space="0" w:color="FFFFFF"/>
            </w:tcBorders>
            <w:shd w:val="clear" w:color="auto" w:fill="007B62"/>
            <w:tcMar>
              <w:top w:w="100" w:type="dxa"/>
              <w:left w:w="200" w:type="dxa"/>
              <w:bottom w:w="100" w:type="dxa"/>
              <w:right w:w="200" w:type="dxa"/>
            </w:tcMar>
          </w:tcPr>
          <w:p w14:paraId="16678808" w14:textId="77777777" w:rsidR="004B7931" w:rsidRDefault="00000000">
            <w:proofErr w:type="gramStart"/>
            <w:r>
              <w:rPr>
                <w:b/>
                <w:bCs/>
                <w:color w:val="FFFFFF"/>
                <w:sz w:val="22"/>
                <w:szCs w:val="22"/>
              </w:rPr>
              <w:t>5.2  Reporting</w:t>
            </w:r>
            <w:proofErr w:type="gramEnd"/>
            <w:r>
              <w:rPr>
                <w:b/>
                <w:bCs/>
                <w:color w:val="FFFFFF"/>
                <w:sz w:val="22"/>
                <w:szCs w:val="22"/>
              </w:rPr>
              <w:t xml:space="preserve"> and Reconciliation</w:t>
            </w:r>
          </w:p>
        </w:tc>
      </w:tr>
    </w:tbl>
    <w:p w14:paraId="7CF2834C" w14:textId="77777777" w:rsidR="004B7931" w:rsidRDefault="004B7931">
      <w:pPr>
        <w:spacing w:before="60" w:after="40"/>
      </w:pPr>
    </w:p>
    <w:p w14:paraId="7EA3F9FC" w14:textId="77777777" w:rsidR="004B7931" w:rsidRDefault="00000000">
      <w:pPr>
        <w:spacing w:before="80" w:after="80"/>
      </w:pPr>
      <w:r>
        <w:t>FSPs must demonstrate the ability to provide:</w:t>
      </w:r>
    </w:p>
    <w:p w14:paraId="73BA30A7" w14:textId="77777777" w:rsidR="004B7931" w:rsidRDefault="00000000">
      <w:pPr>
        <w:spacing w:before="40" w:after="40"/>
        <w:ind w:left="720" w:hanging="360"/>
      </w:pPr>
      <w:r>
        <w:rPr>
          <w:sz w:val="19"/>
          <w:szCs w:val="19"/>
        </w:rPr>
        <w:t xml:space="preserve">•  Real-time or daily transaction reports in Excel/CSV format, </w:t>
      </w:r>
      <w:proofErr w:type="gramStart"/>
      <w:r>
        <w:rPr>
          <w:sz w:val="19"/>
          <w:szCs w:val="19"/>
        </w:rPr>
        <w:t>covering:</w:t>
      </w:r>
      <w:proofErr w:type="gramEnd"/>
      <w:r>
        <w:rPr>
          <w:sz w:val="19"/>
          <w:szCs w:val="19"/>
        </w:rPr>
        <w:t xml:space="preserve"> beneficiary ID, transfer amount, status (successful/pending/failed), date and time, and location/agent code;</w:t>
      </w:r>
    </w:p>
    <w:p w14:paraId="48E97D77" w14:textId="77777777" w:rsidR="004B7931" w:rsidRDefault="00000000">
      <w:pPr>
        <w:spacing w:before="40" w:after="40"/>
        <w:ind w:left="720" w:hanging="360"/>
      </w:pPr>
      <w:r>
        <w:rPr>
          <w:sz w:val="19"/>
          <w:szCs w:val="19"/>
        </w:rPr>
        <w:t>•  Summary reconciliation reports within 24 hours of each distribution cycle;</w:t>
      </w:r>
    </w:p>
    <w:p w14:paraId="407F0F61" w14:textId="77777777" w:rsidR="004B7931" w:rsidRDefault="00000000">
      <w:pPr>
        <w:spacing w:before="40" w:after="40"/>
        <w:ind w:left="720" w:hanging="360"/>
      </w:pPr>
      <w:r>
        <w:rPr>
          <w:sz w:val="19"/>
          <w:szCs w:val="19"/>
        </w:rPr>
        <w:t>•  Error and failure analysis for rejected or incomplete transfers within 48 hours;</w:t>
      </w:r>
    </w:p>
    <w:p w14:paraId="657DCB36" w14:textId="77777777" w:rsidR="004B7931" w:rsidRDefault="00000000">
      <w:pPr>
        <w:spacing w:before="40" w:after="40"/>
        <w:ind w:left="720" w:hanging="360"/>
      </w:pPr>
      <w:r>
        <w:rPr>
          <w:sz w:val="19"/>
          <w:szCs w:val="19"/>
        </w:rPr>
        <w:t>•  Dedicated ADRA Sudan account management and reporting portal (if available).</w:t>
      </w:r>
    </w:p>
    <w:p w14:paraId="25E9C1B1" w14:textId="77777777" w:rsidR="004B7931" w:rsidRDefault="004B7931">
      <w:pPr>
        <w:spacing w:before="12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B7931" w14:paraId="25249C97" w14:textId="77777777" w:rsidTr="007F3EB6">
        <w:tc>
          <w:tcPr>
            <w:tcW w:w="9360" w:type="dxa"/>
            <w:tcBorders>
              <w:top w:val="none" w:sz="0" w:space="0" w:color="FFFFFF"/>
              <w:left w:val="none" w:sz="0" w:space="0" w:color="FFFFFF"/>
              <w:bottom w:val="none" w:sz="0" w:space="0" w:color="FFFFFF"/>
              <w:right w:val="none" w:sz="0" w:space="0" w:color="FFFFFF"/>
            </w:tcBorders>
            <w:shd w:val="clear" w:color="auto" w:fill="007B62"/>
            <w:tcMar>
              <w:top w:w="100" w:type="dxa"/>
              <w:left w:w="200" w:type="dxa"/>
              <w:bottom w:w="100" w:type="dxa"/>
              <w:right w:w="200" w:type="dxa"/>
            </w:tcMar>
          </w:tcPr>
          <w:p w14:paraId="13B86C6F" w14:textId="77777777" w:rsidR="004B7931" w:rsidRDefault="00000000">
            <w:proofErr w:type="gramStart"/>
            <w:r>
              <w:rPr>
                <w:b/>
                <w:bCs/>
                <w:color w:val="FFFFFF"/>
                <w:sz w:val="22"/>
                <w:szCs w:val="22"/>
              </w:rPr>
              <w:t>5.3  Operational</w:t>
            </w:r>
            <w:proofErr w:type="gramEnd"/>
            <w:r>
              <w:rPr>
                <w:b/>
                <w:bCs/>
                <w:color w:val="FFFFFF"/>
                <w:sz w:val="22"/>
                <w:szCs w:val="22"/>
              </w:rPr>
              <w:t xml:space="preserve"> Security</w:t>
            </w:r>
          </w:p>
        </w:tc>
      </w:tr>
    </w:tbl>
    <w:p w14:paraId="08982486" w14:textId="77777777" w:rsidR="004B7931" w:rsidRDefault="004B7931">
      <w:pPr>
        <w:spacing w:before="60" w:after="40"/>
      </w:pPr>
    </w:p>
    <w:p w14:paraId="4FBDF016" w14:textId="77777777" w:rsidR="004B7931" w:rsidRDefault="00000000">
      <w:pPr>
        <w:spacing w:before="80" w:after="80"/>
      </w:pPr>
      <w:r>
        <w:t>FSPs must describe:</w:t>
      </w:r>
    </w:p>
    <w:p w14:paraId="44B059CD" w14:textId="77777777" w:rsidR="004B7931" w:rsidRDefault="00000000">
      <w:pPr>
        <w:spacing w:before="40" w:after="40"/>
        <w:ind w:left="720" w:hanging="360"/>
      </w:pPr>
      <w:r>
        <w:rPr>
          <w:sz w:val="19"/>
          <w:szCs w:val="19"/>
        </w:rPr>
        <w:t>•  Security measures at all cash distribution points (physical security, staff safety, crowd management protocols);</w:t>
      </w:r>
    </w:p>
    <w:p w14:paraId="3C71F732" w14:textId="77777777" w:rsidR="004B7931" w:rsidRDefault="00000000">
      <w:pPr>
        <w:spacing w:before="40" w:after="40"/>
        <w:ind w:left="720" w:hanging="360"/>
      </w:pPr>
      <w:r>
        <w:rPr>
          <w:sz w:val="19"/>
          <w:szCs w:val="19"/>
        </w:rPr>
        <w:t>•  Protocols for handling security incidents during distributions (robbery, civil unrest, access denial);</w:t>
      </w:r>
    </w:p>
    <w:p w14:paraId="7B251E50" w14:textId="77777777" w:rsidR="004B7931" w:rsidRDefault="00000000">
      <w:pPr>
        <w:spacing w:before="40" w:after="40"/>
        <w:ind w:left="720" w:hanging="360"/>
      </w:pPr>
      <w:r>
        <w:rPr>
          <w:sz w:val="19"/>
          <w:szCs w:val="19"/>
        </w:rPr>
        <w:t>•  Coordination protocols with ADRA Sudan’s security management systems;</w:t>
      </w:r>
    </w:p>
    <w:p w14:paraId="5A08EB81" w14:textId="77777777" w:rsidR="004B7931" w:rsidRDefault="00000000">
      <w:pPr>
        <w:spacing w:before="40" w:after="40"/>
        <w:ind w:left="720" w:hanging="360"/>
      </w:pPr>
      <w:r>
        <w:rPr>
          <w:sz w:val="19"/>
          <w:szCs w:val="19"/>
        </w:rPr>
        <w:t>•  Measures to protect FSP staff travelling to insecure locations.</w:t>
      </w:r>
    </w:p>
    <w:p w14:paraId="233FAB3A" w14:textId="77777777" w:rsidR="004B7931" w:rsidRDefault="00000000">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7B62"/>
        <w:tblCellMar>
          <w:left w:w="10" w:type="dxa"/>
          <w:right w:w="10" w:type="dxa"/>
        </w:tblCellMar>
        <w:tblLook w:val="04A0" w:firstRow="1" w:lastRow="0" w:firstColumn="1" w:lastColumn="0" w:noHBand="0" w:noVBand="1"/>
      </w:tblPr>
      <w:tblGrid>
        <w:gridCol w:w="9360"/>
      </w:tblGrid>
      <w:tr w:rsidR="004B7931" w14:paraId="6403AC1F" w14:textId="77777777" w:rsidTr="007F3EB6">
        <w:tc>
          <w:tcPr>
            <w:tcW w:w="9360" w:type="dxa"/>
            <w:tcBorders>
              <w:top w:val="none" w:sz="0" w:space="0" w:color="FFFFFF"/>
              <w:left w:val="none" w:sz="0" w:space="0" w:color="FFFFFF"/>
              <w:bottom w:val="none" w:sz="0" w:space="0" w:color="FFFFFF"/>
              <w:right w:val="none" w:sz="0" w:space="0" w:color="FFFFFF"/>
            </w:tcBorders>
            <w:shd w:val="clear" w:color="auto" w:fill="007B62"/>
            <w:tcMar>
              <w:top w:w="140" w:type="dxa"/>
              <w:left w:w="220" w:type="dxa"/>
              <w:bottom w:w="140" w:type="dxa"/>
              <w:right w:w="220" w:type="dxa"/>
            </w:tcMar>
          </w:tcPr>
          <w:p w14:paraId="5C98911B" w14:textId="77777777" w:rsidR="004B7931" w:rsidRDefault="00000000">
            <w:r>
              <w:rPr>
                <w:b/>
                <w:bCs/>
                <w:color w:val="FFFFFF"/>
                <w:sz w:val="26"/>
                <w:szCs w:val="26"/>
              </w:rPr>
              <w:lastRenderedPageBreak/>
              <w:t>SECTION 6: EXPERIENCE AND PAST PERFORMANCE</w:t>
            </w:r>
          </w:p>
        </w:tc>
      </w:tr>
    </w:tbl>
    <w:p w14:paraId="7BEF1001" w14:textId="77777777" w:rsidR="004B7931" w:rsidRDefault="004B7931">
      <w:pPr>
        <w:spacing w:before="8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7B62"/>
        <w:tblCellMar>
          <w:left w:w="10" w:type="dxa"/>
          <w:right w:w="10" w:type="dxa"/>
        </w:tblCellMar>
        <w:tblLook w:val="04A0" w:firstRow="1" w:lastRow="0" w:firstColumn="1" w:lastColumn="0" w:noHBand="0" w:noVBand="1"/>
      </w:tblPr>
      <w:tblGrid>
        <w:gridCol w:w="9360"/>
      </w:tblGrid>
      <w:tr w:rsidR="004B7931" w14:paraId="1CFD4DDC" w14:textId="77777777" w:rsidTr="007F3EB6">
        <w:tc>
          <w:tcPr>
            <w:tcW w:w="9360" w:type="dxa"/>
            <w:tcBorders>
              <w:top w:val="none" w:sz="0" w:space="0" w:color="FFFFFF"/>
              <w:left w:val="none" w:sz="0" w:space="0" w:color="FFFFFF"/>
              <w:bottom w:val="none" w:sz="0" w:space="0" w:color="FFFFFF"/>
              <w:right w:val="none" w:sz="0" w:space="0" w:color="FFFFFF"/>
            </w:tcBorders>
            <w:shd w:val="clear" w:color="auto" w:fill="007B62"/>
            <w:tcMar>
              <w:top w:w="100" w:type="dxa"/>
              <w:left w:w="200" w:type="dxa"/>
              <w:bottom w:w="100" w:type="dxa"/>
              <w:right w:w="200" w:type="dxa"/>
            </w:tcMar>
          </w:tcPr>
          <w:p w14:paraId="1D45E20A" w14:textId="77777777" w:rsidR="004B7931" w:rsidRDefault="00000000">
            <w:proofErr w:type="gramStart"/>
            <w:r>
              <w:rPr>
                <w:b/>
                <w:bCs/>
                <w:color w:val="FFFFFF"/>
                <w:sz w:val="22"/>
                <w:szCs w:val="22"/>
              </w:rPr>
              <w:t>6.1  Humanitarian</w:t>
            </w:r>
            <w:proofErr w:type="gramEnd"/>
            <w:r>
              <w:rPr>
                <w:b/>
                <w:bCs/>
                <w:color w:val="FFFFFF"/>
                <w:sz w:val="22"/>
                <w:szCs w:val="22"/>
              </w:rPr>
              <w:t xml:space="preserve"> Cash Programming Experience</w:t>
            </w:r>
          </w:p>
        </w:tc>
      </w:tr>
    </w:tbl>
    <w:p w14:paraId="3CA0BB8D" w14:textId="77777777" w:rsidR="004B7931" w:rsidRDefault="004B7931">
      <w:pPr>
        <w:spacing w:before="60" w:after="40"/>
      </w:pPr>
    </w:p>
    <w:p w14:paraId="7D47E6C3" w14:textId="77777777" w:rsidR="004B7931" w:rsidRDefault="00000000">
      <w:pPr>
        <w:spacing w:before="80" w:after="80"/>
      </w:pPr>
      <w:r>
        <w:t>Applicants should provide:</w:t>
      </w:r>
    </w:p>
    <w:p w14:paraId="4A6CBF2D" w14:textId="77777777" w:rsidR="004B7931" w:rsidRDefault="00000000">
      <w:pPr>
        <w:spacing w:before="40" w:after="40"/>
        <w:ind w:left="720" w:hanging="360"/>
      </w:pPr>
      <w:r>
        <w:rPr>
          <w:sz w:val="19"/>
          <w:szCs w:val="19"/>
        </w:rPr>
        <w:t>•  A portfolio of at least three (3) large-scale cash transfer programmes completed within the last three (3) years, including: Programme name, implementing partner/client, target states/localities, delivery modality, total number of beneficiary households served, total value transferred (SDG/USD), and dates of operation;</w:t>
      </w:r>
    </w:p>
    <w:p w14:paraId="48EEF03F" w14:textId="77777777" w:rsidR="004B7931" w:rsidRDefault="00000000">
      <w:pPr>
        <w:spacing w:before="40" w:after="40"/>
        <w:ind w:left="720" w:hanging="360"/>
      </w:pPr>
      <w:r>
        <w:rPr>
          <w:sz w:val="19"/>
          <w:szCs w:val="19"/>
        </w:rPr>
        <w:t>•  Evidence of experience working with UN agencies (WFP, UNICEF, UNHCR, OCHA) and/or INGOs in Sudan or comparable complex/fragile contexts;</w:t>
      </w:r>
    </w:p>
    <w:p w14:paraId="118384FE" w14:textId="77777777" w:rsidR="004B7931" w:rsidRDefault="00000000">
      <w:pPr>
        <w:spacing w:before="40" w:after="40"/>
        <w:ind w:left="720" w:hanging="360"/>
      </w:pPr>
      <w:r>
        <w:rPr>
          <w:sz w:val="19"/>
          <w:szCs w:val="19"/>
        </w:rPr>
        <w:t>•  Details of any programmes implemented under humanitarian cash coordination mechanisms (e.g., Sudan CWG – Cash Working Group).</w:t>
      </w:r>
    </w:p>
    <w:p w14:paraId="7D91D185" w14:textId="77777777" w:rsidR="004B7931" w:rsidRDefault="004B7931">
      <w:pPr>
        <w:spacing w:before="12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7B62"/>
        <w:tblCellMar>
          <w:left w:w="10" w:type="dxa"/>
          <w:right w:w="10" w:type="dxa"/>
        </w:tblCellMar>
        <w:tblLook w:val="04A0" w:firstRow="1" w:lastRow="0" w:firstColumn="1" w:lastColumn="0" w:noHBand="0" w:noVBand="1"/>
      </w:tblPr>
      <w:tblGrid>
        <w:gridCol w:w="9360"/>
      </w:tblGrid>
      <w:tr w:rsidR="004B7931" w14:paraId="08C4DD04" w14:textId="77777777" w:rsidTr="007F3EB6">
        <w:tc>
          <w:tcPr>
            <w:tcW w:w="9360" w:type="dxa"/>
            <w:tcBorders>
              <w:top w:val="none" w:sz="0" w:space="0" w:color="FFFFFF"/>
              <w:left w:val="none" w:sz="0" w:space="0" w:color="FFFFFF"/>
              <w:bottom w:val="none" w:sz="0" w:space="0" w:color="FFFFFF"/>
              <w:right w:val="none" w:sz="0" w:space="0" w:color="FFFFFF"/>
            </w:tcBorders>
            <w:shd w:val="clear" w:color="auto" w:fill="007B62"/>
            <w:tcMar>
              <w:top w:w="100" w:type="dxa"/>
              <w:left w:w="200" w:type="dxa"/>
              <w:bottom w:w="100" w:type="dxa"/>
              <w:right w:w="200" w:type="dxa"/>
            </w:tcMar>
          </w:tcPr>
          <w:p w14:paraId="5E1FE5EF" w14:textId="77777777" w:rsidR="004B7931" w:rsidRDefault="00000000">
            <w:proofErr w:type="gramStart"/>
            <w:r>
              <w:rPr>
                <w:b/>
                <w:bCs/>
                <w:color w:val="FFFFFF"/>
                <w:sz w:val="22"/>
                <w:szCs w:val="22"/>
              </w:rPr>
              <w:t>6.2  References</w:t>
            </w:r>
            <w:proofErr w:type="gramEnd"/>
          </w:p>
        </w:tc>
      </w:tr>
    </w:tbl>
    <w:p w14:paraId="035F981B" w14:textId="77777777" w:rsidR="004B7931" w:rsidRDefault="004B7931">
      <w:pPr>
        <w:spacing w:before="60" w:after="40"/>
      </w:pPr>
    </w:p>
    <w:p w14:paraId="055AF963" w14:textId="77CE6BC0" w:rsidR="004B7931" w:rsidRDefault="00000000">
      <w:pPr>
        <w:spacing w:before="80" w:after="80"/>
      </w:pPr>
      <w:r>
        <w:t xml:space="preserve">Applicants must provide a minimum of </w:t>
      </w:r>
      <w:r w:rsidR="007F3EB6">
        <w:t>two</w:t>
      </w:r>
      <w:r>
        <w:t xml:space="preserve"> (</w:t>
      </w:r>
      <w:r w:rsidR="007F3EB6">
        <w:t>2</w:t>
      </w:r>
      <w:r>
        <w:t>) professional references from past humanitarian or large-scale cash programme clients. Each reference must include:</w:t>
      </w:r>
    </w:p>
    <w:p w14:paraId="0E1DF993" w14:textId="77777777" w:rsidR="004B7931" w:rsidRDefault="00000000">
      <w:pPr>
        <w:spacing w:before="40" w:after="40"/>
        <w:ind w:left="720" w:hanging="360"/>
      </w:pPr>
      <w:r>
        <w:rPr>
          <w:sz w:val="19"/>
          <w:szCs w:val="19"/>
        </w:rPr>
        <w:t>•  Name and title of the reference contact;</w:t>
      </w:r>
    </w:p>
    <w:p w14:paraId="2EFC2F21" w14:textId="77777777" w:rsidR="004B7931" w:rsidRDefault="00000000">
      <w:pPr>
        <w:spacing w:before="40" w:after="40"/>
        <w:ind w:left="720" w:hanging="360"/>
      </w:pPr>
      <w:r>
        <w:rPr>
          <w:sz w:val="19"/>
          <w:szCs w:val="19"/>
        </w:rPr>
        <w:t>•  Organization name and type (INGO, UN Agency, Government, etc.);</w:t>
      </w:r>
    </w:p>
    <w:p w14:paraId="1BA8DDB5" w14:textId="77777777" w:rsidR="004B7931" w:rsidRDefault="00000000">
      <w:pPr>
        <w:spacing w:before="40" w:after="40"/>
        <w:ind w:left="720" w:hanging="360"/>
      </w:pPr>
      <w:r>
        <w:rPr>
          <w:sz w:val="19"/>
          <w:szCs w:val="19"/>
        </w:rPr>
        <w:t>•  Email address and phone number;</w:t>
      </w:r>
    </w:p>
    <w:p w14:paraId="384E1EA1" w14:textId="77777777" w:rsidR="004B7931" w:rsidRDefault="00000000">
      <w:pPr>
        <w:spacing w:before="40" w:after="40"/>
        <w:ind w:left="720" w:hanging="360"/>
      </w:pPr>
      <w:r>
        <w:rPr>
          <w:sz w:val="19"/>
          <w:szCs w:val="19"/>
        </w:rPr>
        <w:t>•  Brief description of the programme in which the FSP was engaged.</w:t>
      </w:r>
    </w:p>
    <w:p w14:paraId="0E47B4B3" w14:textId="77777777" w:rsidR="004B7931" w:rsidRDefault="00000000">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7B62"/>
        <w:tblCellMar>
          <w:left w:w="10" w:type="dxa"/>
          <w:right w:w="10" w:type="dxa"/>
        </w:tblCellMar>
        <w:tblLook w:val="04A0" w:firstRow="1" w:lastRow="0" w:firstColumn="1" w:lastColumn="0" w:noHBand="0" w:noVBand="1"/>
      </w:tblPr>
      <w:tblGrid>
        <w:gridCol w:w="9360"/>
      </w:tblGrid>
      <w:tr w:rsidR="004B7931" w14:paraId="4BD1C308" w14:textId="77777777" w:rsidTr="007F3EB6">
        <w:tc>
          <w:tcPr>
            <w:tcW w:w="9360" w:type="dxa"/>
            <w:tcBorders>
              <w:top w:val="none" w:sz="0" w:space="0" w:color="FFFFFF"/>
              <w:left w:val="none" w:sz="0" w:space="0" w:color="FFFFFF"/>
              <w:bottom w:val="none" w:sz="0" w:space="0" w:color="FFFFFF"/>
              <w:right w:val="none" w:sz="0" w:space="0" w:color="FFFFFF"/>
            </w:tcBorders>
            <w:shd w:val="clear" w:color="auto" w:fill="007B62"/>
            <w:tcMar>
              <w:top w:w="140" w:type="dxa"/>
              <w:left w:w="220" w:type="dxa"/>
              <w:bottom w:w="140" w:type="dxa"/>
              <w:right w:w="220" w:type="dxa"/>
            </w:tcMar>
          </w:tcPr>
          <w:p w14:paraId="6FEC003B" w14:textId="77777777" w:rsidR="004B7931" w:rsidRDefault="00000000">
            <w:r>
              <w:rPr>
                <w:b/>
                <w:bCs/>
                <w:color w:val="FFFFFF"/>
                <w:sz w:val="26"/>
                <w:szCs w:val="26"/>
              </w:rPr>
              <w:lastRenderedPageBreak/>
              <w:t>SECTION 7: SUBMISSION REQUIREMENTS</w:t>
            </w:r>
          </w:p>
        </w:tc>
      </w:tr>
    </w:tbl>
    <w:p w14:paraId="4933DD73" w14:textId="77777777" w:rsidR="004B7931" w:rsidRDefault="004B7931">
      <w:pPr>
        <w:spacing w:before="8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7B62"/>
        <w:tblCellMar>
          <w:left w:w="10" w:type="dxa"/>
          <w:right w:w="10" w:type="dxa"/>
        </w:tblCellMar>
        <w:tblLook w:val="04A0" w:firstRow="1" w:lastRow="0" w:firstColumn="1" w:lastColumn="0" w:noHBand="0" w:noVBand="1"/>
      </w:tblPr>
      <w:tblGrid>
        <w:gridCol w:w="9360"/>
      </w:tblGrid>
      <w:tr w:rsidR="004B7931" w14:paraId="161CA207" w14:textId="77777777" w:rsidTr="007F3EB6">
        <w:tc>
          <w:tcPr>
            <w:tcW w:w="9360" w:type="dxa"/>
            <w:tcBorders>
              <w:top w:val="none" w:sz="0" w:space="0" w:color="FFFFFF"/>
              <w:left w:val="none" w:sz="0" w:space="0" w:color="FFFFFF"/>
              <w:bottom w:val="none" w:sz="0" w:space="0" w:color="FFFFFF"/>
              <w:right w:val="none" w:sz="0" w:space="0" w:color="FFFFFF"/>
            </w:tcBorders>
            <w:shd w:val="clear" w:color="auto" w:fill="007B62"/>
            <w:tcMar>
              <w:top w:w="100" w:type="dxa"/>
              <w:left w:w="200" w:type="dxa"/>
              <w:bottom w:w="100" w:type="dxa"/>
              <w:right w:w="200" w:type="dxa"/>
            </w:tcMar>
          </w:tcPr>
          <w:p w14:paraId="65C372EC" w14:textId="77777777" w:rsidR="004B7931" w:rsidRDefault="00000000">
            <w:proofErr w:type="gramStart"/>
            <w:r>
              <w:rPr>
                <w:b/>
                <w:bCs/>
                <w:color w:val="FFFFFF"/>
                <w:sz w:val="22"/>
                <w:szCs w:val="22"/>
              </w:rPr>
              <w:t>7.1  Required</w:t>
            </w:r>
            <w:proofErr w:type="gramEnd"/>
            <w:r>
              <w:rPr>
                <w:b/>
                <w:bCs/>
                <w:color w:val="FFFFFF"/>
                <w:sz w:val="22"/>
                <w:szCs w:val="22"/>
              </w:rPr>
              <w:t xml:space="preserve"> Documents</w:t>
            </w:r>
          </w:p>
        </w:tc>
      </w:tr>
    </w:tbl>
    <w:p w14:paraId="6380954C" w14:textId="77777777" w:rsidR="004B7931" w:rsidRDefault="004B7931">
      <w:pPr>
        <w:spacing w:before="60" w:after="40"/>
      </w:pPr>
    </w:p>
    <w:p w14:paraId="56EC6BA2" w14:textId="77777777" w:rsidR="004B7931" w:rsidRDefault="00000000">
      <w:pPr>
        <w:spacing w:before="80" w:after="80"/>
      </w:pPr>
      <w:r>
        <w:t xml:space="preserve">Interested FSPs must submit </w:t>
      </w:r>
      <w:proofErr w:type="gramStart"/>
      <w:r>
        <w:t>ALL of</w:t>
      </w:r>
      <w:proofErr w:type="gramEnd"/>
      <w:r>
        <w:t xml:space="preserve"> the following:</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
        <w:gridCol w:w="2600"/>
        <w:gridCol w:w="6160"/>
      </w:tblGrid>
      <w:tr w:rsidR="004B7931" w14:paraId="0FC1C088" w14:textId="77777777" w:rsidTr="007F3EB6">
        <w:tc>
          <w:tcPr>
            <w:tcW w:w="600" w:type="dxa"/>
            <w:tcBorders>
              <w:top w:val="single" w:sz="4" w:space="0" w:color="D9D9D9"/>
              <w:left w:val="single" w:sz="4" w:space="0" w:color="D9D9D9"/>
              <w:bottom w:val="single" w:sz="4" w:space="0" w:color="D9D9D9"/>
              <w:right w:val="single" w:sz="4" w:space="0" w:color="D9D9D9"/>
            </w:tcBorders>
            <w:shd w:val="clear" w:color="auto" w:fill="007B62"/>
            <w:tcMar>
              <w:top w:w="80" w:type="dxa"/>
              <w:left w:w="100" w:type="dxa"/>
              <w:bottom w:w="80" w:type="dxa"/>
              <w:right w:w="100" w:type="dxa"/>
            </w:tcMar>
          </w:tcPr>
          <w:p w14:paraId="46EA1CB0" w14:textId="77777777" w:rsidR="004B7931" w:rsidRDefault="00000000">
            <w:pPr>
              <w:jc w:val="center"/>
            </w:pPr>
            <w:r>
              <w:rPr>
                <w:b/>
                <w:bCs/>
                <w:color w:val="FFFFFF"/>
                <w:sz w:val="19"/>
                <w:szCs w:val="19"/>
              </w:rPr>
              <w:t>#</w:t>
            </w:r>
          </w:p>
        </w:tc>
        <w:tc>
          <w:tcPr>
            <w:tcW w:w="2600" w:type="dxa"/>
            <w:tcBorders>
              <w:top w:val="single" w:sz="4" w:space="0" w:color="D9D9D9"/>
              <w:left w:val="single" w:sz="4" w:space="0" w:color="D9D9D9"/>
              <w:bottom w:val="single" w:sz="4" w:space="0" w:color="D9D9D9"/>
              <w:right w:val="single" w:sz="4" w:space="0" w:color="D9D9D9"/>
            </w:tcBorders>
            <w:shd w:val="clear" w:color="auto" w:fill="007B62"/>
            <w:tcMar>
              <w:top w:w="80" w:type="dxa"/>
              <w:left w:w="120" w:type="dxa"/>
              <w:bottom w:w="80" w:type="dxa"/>
              <w:right w:w="120" w:type="dxa"/>
            </w:tcMar>
          </w:tcPr>
          <w:p w14:paraId="1E5B68ED" w14:textId="77777777" w:rsidR="004B7931" w:rsidRDefault="00000000">
            <w:r>
              <w:rPr>
                <w:b/>
                <w:bCs/>
                <w:color w:val="FFFFFF"/>
                <w:sz w:val="19"/>
                <w:szCs w:val="19"/>
              </w:rPr>
              <w:t>Document</w:t>
            </w:r>
          </w:p>
        </w:tc>
        <w:tc>
          <w:tcPr>
            <w:tcW w:w="6160" w:type="dxa"/>
            <w:tcBorders>
              <w:top w:val="single" w:sz="4" w:space="0" w:color="D9D9D9"/>
              <w:left w:val="single" w:sz="4" w:space="0" w:color="D9D9D9"/>
              <w:bottom w:val="single" w:sz="4" w:space="0" w:color="D9D9D9"/>
              <w:right w:val="single" w:sz="4" w:space="0" w:color="D9D9D9"/>
            </w:tcBorders>
            <w:shd w:val="clear" w:color="auto" w:fill="007B62"/>
            <w:tcMar>
              <w:top w:w="80" w:type="dxa"/>
              <w:left w:w="120" w:type="dxa"/>
              <w:bottom w:w="80" w:type="dxa"/>
              <w:right w:w="120" w:type="dxa"/>
            </w:tcMar>
          </w:tcPr>
          <w:p w14:paraId="33D50F89" w14:textId="77777777" w:rsidR="004B7931" w:rsidRDefault="00000000">
            <w:r>
              <w:rPr>
                <w:b/>
                <w:bCs/>
                <w:color w:val="FFFFFF"/>
                <w:sz w:val="19"/>
                <w:szCs w:val="19"/>
              </w:rPr>
              <w:t>Notes</w:t>
            </w:r>
          </w:p>
        </w:tc>
      </w:tr>
      <w:tr w:rsidR="004B7931" w14:paraId="0B3C2F2B" w14:textId="77777777">
        <w:tc>
          <w:tcPr>
            <w:tcW w:w="600" w:type="dxa"/>
            <w:tcBorders>
              <w:top w:val="single" w:sz="4" w:space="0" w:color="D9D9D9"/>
              <w:left w:val="single" w:sz="4" w:space="0" w:color="D9D9D9"/>
              <w:bottom w:val="single" w:sz="4" w:space="0" w:color="D9D9D9"/>
              <w:right w:val="single" w:sz="4" w:space="0" w:color="D9D9D9"/>
            </w:tcBorders>
            <w:shd w:val="clear" w:color="auto" w:fill="F5F5F5"/>
            <w:tcMar>
              <w:top w:w="80" w:type="dxa"/>
              <w:left w:w="100" w:type="dxa"/>
              <w:bottom w:w="80" w:type="dxa"/>
              <w:right w:w="100" w:type="dxa"/>
            </w:tcMar>
          </w:tcPr>
          <w:p w14:paraId="1703D902" w14:textId="77777777" w:rsidR="004B7931" w:rsidRDefault="00000000">
            <w:pPr>
              <w:jc w:val="center"/>
            </w:pPr>
            <w:r>
              <w:rPr>
                <w:b/>
                <w:bCs/>
                <w:sz w:val="19"/>
                <w:szCs w:val="19"/>
              </w:rPr>
              <w:t>1</w:t>
            </w:r>
          </w:p>
        </w:tc>
        <w:tc>
          <w:tcPr>
            <w:tcW w:w="2600" w:type="dxa"/>
            <w:tcBorders>
              <w:top w:val="single" w:sz="4" w:space="0" w:color="D9D9D9"/>
              <w:left w:val="single" w:sz="4" w:space="0" w:color="D9D9D9"/>
              <w:bottom w:val="single" w:sz="4" w:space="0" w:color="D9D9D9"/>
              <w:right w:val="single" w:sz="4" w:space="0" w:color="D9D9D9"/>
            </w:tcBorders>
            <w:shd w:val="clear" w:color="auto" w:fill="F5F5F5"/>
            <w:tcMar>
              <w:top w:w="80" w:type="dxa"/>
              <w:left w:w="120" w:type="dxa"/>
              <w:bottom w:w="80" w:type="dxa"/>
              <w:right w:w="120" w:type="dxa"/>
            </w:tcMar>
          </w:tcPr>
          <w:p w14:paraId="09A8CCAA" w14:textId="77777777" w:rsidR="004B7931" w:rsidRDefault="00000000">
            <w:r>
              <w:rPr>
                <w:sz w:val="19"/>
                <w:szCs w:val="19"/>
              </w:rPr>
              <w:t>Completed EOI Response Form (Annex A)</w:t>
            </w:r>
          </w:p>
        </w:tc>
        <w:tc>
          <w:tcPr>
            <w:tcW w:w="6160" w:type="dxa"/>
            <w:tcBorders>
              <w:top w:val="single" w:sz="4" w:space="0" w:color="D9D9D9"/>
              <w:left w:val="single" w:sz="4" w:space="0" w:color="D9D9D9"/>
              <w:bottom w:val="single" w:sz="4" w:space="0" w:color="D9D9D9"/>
              <w:right w:val="single" w:sz="4" w:space="0" w:color="D9D9D9"/>
            </w:tcBorders>
            <w:shd w:val="clear" w:color="auto" w:fill="F5F5F5"/>
            <w:tcMar>
              <w:top w:w="80" w:type="dxa"/>
              <w:left w:w="120" w:type="dxa"/>
              <w:bottom w:w="80" w:type="dxa"/>
              <w:right w:w="120" w:type="dxa"/>
            </w:tcMar>
          </w:tcPr>
          <w:p w14:paraId="2BC04C4F" w14:textId="77777777" w:rsidR="004B7931" w:rsidRDefault="00000000">
            <w:r>
              <w:rPr>
                <w:color w:val="555555"/>
                <w:sz w:val="19"/>
                <w:szCs w:val="19"/>
              </w:rPr>
              <w:t>Use the provided template; all fields required.</w:t>
            </w:r>
          </w:p>
        </w:tc>
      </w:tr>
      <w:tr w:rsidR="004B7931" w14:paraId="2F5088B8" w14:textId="77777777">
        <w:tc>
          <w:tcPr>
            <w:tcW w:w="60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00" w:type="dxa"/>
              <w:bottom w:w="80" w:type="dxa"/>
              <w:right w:w="100" w:type="dxa"/>
            </w:tcMar>
          </w:tcPr>
          <w:p w14:paraId="1EEA4E81" w14:textId="77777777" w:rsidR="004B7931" w:rsidRPr="00311DC5" w:rsidRDefault="00000000">
            <w:pPr>
              <w:jc w:val="center"/>
              <w:rPr>
                <w:b/>
                <w:bCs/>
                <w:sz w:val="19"/>
                <w:szCs w:val="19"/>
              </w:rPr>
            </w:pPr>
            <w:r>
              <w:rPr>
                <w:b/>
                <w:bCs/>
                <w:sz w:val="19"/>
                <w:szCs w:val="19"/>
              </w:rPr>
              <w:t>2</w:t>
            </w:r>
          </w:p>
        </w:tc>
        <w:tc>
          <w:tcPr>
            <w:tcW w:w="260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14:paraId="1DD26216" w14:textId="77777777" w:rsidR="004B7931" w:rsidRDefault="00000000">
            <w:r>
              <w:rPr>
                <w:sz w:val="19"/>
                <w:szCs w:val="19"/>
              </w:rPr>
              <w:t xml:space="preserve">Copy of </w:t>
            </w:r>
            <w:proofErr w:type="spellStart"/>
            <w:r>
              <w:rPr>
                <w:sz w:val="19"/>
                <w:szCs w:val="19"/>
              </w:rPr>
              <w:t>CBoS</w:t>
            </w:r>
            <w:proofErr w:type="spellEnd"/>
            <w:r>
              <w:rPr>
                <w:sz w:val="19"/>
                <w:szCs w:val="19"/>
              </w:rPr>
              <w:t xml:space="preserve"> License</w:t>
            </w:r>
          </w:p>
        </w:tc>
        <w:tc>
          <w:tcPr>
            <w:tcW w:w="616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14:paraId="2B09BAD0" w14:textId="77777777" w:rsidR="004B7931" w:rsidRDefault="00000000">
            <w:r>
              <w:rPr>
                <w:color w:val="555555"/>
                <w:sz w:val="19"/>
                <w:szCs w:val="19"/>
              </w:rPr>
              <w:t>Must be valid and current.</w:t>
            </w:r>
          </w:p>
        </w:tc>
      </w:tr>
      <w:tr w:rsidR="004B7931" w14:paraId="63457676" w14:textId="77777777">
        <w:tc>
          <w:tcPr>
            <w:tcW w:w="600" w:type="dxa"/>
            <w:tcBorders>
              <w:top w:val="single" w:sz="4" w:space="0" w:color="D9D9D9"/>
              <w:left w:val="single" w:sz="4" w:space="0" w:color="D9D9D9"/>
              <w:bottom w:val="single" w:sz="4" w:space="0" w:color="D9D9D9"/>
              <w:right w:val="single" w:sz="4" w:space="0" w:color="D9D9D9"/>
            </w:tcBorders>
            <w:shd w:val="clear" w:color="auto" w:fill="F5F5F5"/>
            <w:tcMar>
              <w:top w:w="80" w:type="dxa"/>
              <w:left w:w="100" w:type="dxa"/>
              <w:bottom w:w="80" w:type="dxa"/>
              <w:right w:w="100" w:type="dxa"/>
            </w:tcMar>
          </w:tcPr>
          <w:p w14:paraId="3F99B570" w14:textId="77777777" w:rsidR="004B7931" w:rsidRPr="00311DC5" w:rsidRDefault="00000000">
            <w:pPr>
              <w:jc w:val="center"/>
              <w:rPr>
                <w:b/>
                <w:bCs/>
                <w:sz w:val="19"/>
                <w:szCs w:val="19"/>
              </w:rPr>
            </w:pPr>
            <w:r>
              <w:rPr>
                <w:b/>
                <w:bCs/>
                <w:sz w:val="19"/>
                <w:szCs w:val="19"/>
              </w:rPr>
              <w:t>3</w:t>
            </w:r>
          </w:p>
        </w:tc>
        <w:tc>
          <w:tcPr>
            <w:tcW w:w="2600" w:type="dxa"/>
            <w:tcBorders>
              <w:top w:val="single" w:sz="4" w:space="0" w:color="D9D9D9"/>
              <w:left w:val="single" w:sz="4" w:space="0" w:color="D9D9D9"/>
              <w:bottom w:val="single" w:sz="4" w:space="0" w:color="D9D9D9"/>
              <w:right w:val="single" w:sz="4" w:space="0" w:color="D9D9D9"/>
            </w:tcBorders>
            <w:shd w:val="clear" w:color="auto" w:fill="F5F5F5"/>
            <w:tcMar>
              <w:top w:w="80" w:type="dxa"/>
              <w:left w:w="120" w:type="dxa"/>
              <w:bottom w:w="80" w:type="dxa"/>
              <w:right w:w="120" w:type="dxa"/>
            </w:tcMar>
          </w:tcPr>
          <w:p w14:paraId="06D2652E" w14:textId="77777777" w:rsidR="004B7931" w:rsidRDefault="00000000">
            <w:r>
              <w:rPr>
                <w:sz w:val="19"/>
                <w:szCs w:val="19"/>
              </w:rPr>
              <w:t>Certificate of Company Registration</w:t>
            </w:r>
          </w:p>
        </w:tc>
        <w:tc>
          <w:tcPr>
            <w:tcW w:w="6160" w:type="dxa"/>
            <w:tcBorders>
              <w:top w:val="single" w:sz="4" w:space="0" w:color="D9D9D9"/>
              <w:left w:val="single" w:sz="4" w:space="0" w:color="D9D9D9"/>
              <w:bottom w:val="single" w:sz="4" w:space="0" w:color="D9D9D9"/>
              <w:right w:val="single" w:sz="4" w:space="0" w:color="D9D9D9"/>
            </w:tcBorders>
            <w:shd w:val="clear" w:color="auto" w:fill="F5F5F5"/>
            <w:tcMar>
              <w:top w:w="80" w:type="dxa"/>
              <w:left w:w="120" w:type="dxa"/>
              <w:bottom w:w="80" w:type="dxa"/>
              <w:right w:w="120" w:type="dxa"/>
            </w:tcMar>
          </w:tcPr>
          <w:p w14:paraId="508040DE" w14:textId="77777777" w:rsidR="004B7931" w:rsidRDefault="00000000">
            <w:r>
              <w:rPr>
                <w:color w:val="555555"/>
                <w:sz w:val="19"/>
                <w:szCs w:val="19"/>
              </w:rPr>
              <w:t>Certified copy.</w:t>
            </w:r>
          </w:p>
        </w:tc>
      </w:tr>
      <w:tr w:rsidR="004B7931" w14:paraId="1D5F2B40" w14:textId="77777777">
        <w:tc>
          <w:tcPr>
            <w:tcW w:w="600" w:type="dxa"/>
            <w:tcBorders>
              <w:top w:val="single" w:sz="4" w:space="0" w:color="D9D9D9"/>
              <w:left w:val="single" w:sz="4" w:space="0" w:color="D9D9D9"/>
              <w:bottom w:val="single" w:sz="4" w:space="0" w:color="D9D9D9"/>
              <w:right w:val="single" w:sz="4" w:space="0" w:color="D9D9D9"/>
            </w:tcBorders>
            <w:shd w:val="clear" w:color="auto" w:fill="F5F5F5"/>
            <w:tcMar>
              <w:top w:w="80" w:type="dxa"/>
              <w:left w:w="100" w:type="dxa"/>
              <w:bottom w:w="80" w:type="dxa"/>
              <w:right w:w="100" w:type="dxa"/>
            </w:tcMar>
          </w:tcPr>
          <w:p w14:paraId="1A0846AE" w14:textId="50245975" w:rsidR="004B7931" w:rsidRPr="00311DC5" w:rsidRDefault="00311DC5">
            <w:pPr>
              <w:jc w:val="center"/>
              <w:rPr>
                <w:b/>
                <w:bCs/>
                <w:sz w:val="19"/>
                <w:szCs w:val="19"/>
              </w:rPr>
            </w:pPr>
            <w:r w:rsidRPr="00311DC5">
              <w:rPr>
                <w:b/>
                <w:bCs/>
                <w:sz w:val="19"/>
                <w:szCs w:val="19"/>
              </w:rPr>
              <w:t>4</w:t>
            </w:r>
          </w:p>
        </w:tc>
        <w:tc>
          <w:tcPr>
            <w:tcW w:w="2600" w:type="dxa"/>
            <w:tcBorders>
              <w:top w:val="single" w:sz="4" w:space="0" w:color="D9D9D9"/>
              <w:left w:val="single" w:sz="4" w:space="0" w:color="D9D9D9"/>
              <w:bottom w:val="single" w:sz="4" w:space="0" w:color="D9D9D9"/>
              <w:right w:val="single" w:sz="4" w:space="0" w:color="D9D9D9"/>
            </w:tcBorders>
            <w:shd w:val="clear" w:color="auto" w:fill="F5F5F5"/>
            <w:tcMar>
              <w:top w:w="80" w:type="dxa"/>
              <w:left w:w="120" w:type="dxa"/>
              <w:bottom w:w="80" w:type="dxa"/>
              <w:right w:w="120" w:type="dxa"/>
            </w:tcMar>
          </w:tcPr>
          <w:p w14:paraId="4A8C5415" w14:textId="77777777" w:rsidR="004B7931" w:rsidRDefault="00000000">
            <w:r>
              <w:rPr>
                <w:sz w:val="19"/>
                <w:szCs w:val="19"/>
              </w:rPr>
              <w:t>KYC / AML Policy Document</w:t>
            </w:r>
          </w:p>
        </w:tc>
        <w:tc>
          <w:tcPr>
            <w:tcW w:w="6160" w:type="dxa"/>
            <w:tcBorders>
              <w:top w:val="single" w:sz="4" w:space="0" w:color="D9D9D9"/>
              <w:left w:val="single" w:sz="4" w:space="0" w:color="D9D9D9"/>
              <w:bottom w:val="single" w:sz="4" w:space="0" w:color="D9D9D9"/>
              <w:right w:val="single" w:sz="4" w:space="0" w:color="D9D9D9"/>
            </w:tcBorders>
            <w:shd w:val="clear" w:color="auto" w:fill="F5F5F5"/>
            <w:tcMar>
              <w:top w:w="80" w:type="dxa"/>
              <w:left w:w="120" w:type="dxa"/>
              <w:bottom w:w="80" w:type="dxa"/>
              <w:right w:w="120" w:type="dxa"/>
            </w:tcMar>
          </w:tcPr>
          <w:p w14:paraId="04827F6D" w14:textId="77777777" w:rsidR="004B7931" w:rsidRDefault="00000000">
            <w:r>
              <w:rPr>
                <w:color w:val="555555"/>
                <w:sz w:val="19"/>
                <w:szCs w:val="19"/>
              </w:rPr>
              <w:t>Executive summary acceptable if full policy is confidential.</w:t>
            </w:r>
          </w:p>
        </w:tc>
      </w:tr>
      <w:tr w:rsidR="004B7931" w14:paraId="70B9AE26" w14:textId="77777777">
        <w:tc>
          <w:tcPr>
            <w:tcW w:w="60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00" w:type="dxa"/>
              <w:bottom w:w="80" w:type="dxa"/>
              <w:right w:w="100" w:type="dxa"/>
            </w:tcMar>
          </w:tcPr>
          <w:p w14:paraId="670B07FF" w14:textId="22306E29" w:rsidR="004B7931" w:rsidRPr="00311DC5" w:rsidRDefault="00311DC5">
            <w:pPr>
              <w:jc w:val="center"/>
              <w:rPr>
                <w:b/>
                <w:bCs/>
                <w:sz w:val="19"/>
                <w:szCs w:val="19"/>
              </w:rPr>
            </w:pPr>
            <w:r w:rsidRPr="00311DC5">
              <w:rPr>
                <w:b/>
                <w:bCs/>
                <w:sz w:val="19"/>
                <w:szCs w:val="19"/>
              </w:rPr>
              <w:t>5</w:t>
            </w:r>
          </w:p>
        </w:tc>
        <w:tc>
          <w:tcPr>
            <w:tcW w:w="260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14:paraId="2D3EA1FF" w14:textId="77777777" w:rsidR="004B7931" w:rsidRDefault="00000000">
            <w:r>
              <w:rPr>
                <w:sz w:val="19"/>
                <w:szCs w:val="19"/>
              </w:rPr>
              <w:t>Proof of Insurance</w:t>
            </w:r>
          </w:p>
        </w:tc>
        <w:tc>
          <w:tcPr>
            <w:tcW w:w="616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14:paraId="56D97DBD" w14:textId="77777777" w:rsidR="004B7931" w:rsidRDefault="00000000">
            <w:r>
              <w:rPr>
                <w:color w:val="555555"/>
                <w:sz w:val="19"/>
                <w:szCs w:val="19"/>
              </w:rPr>
              <w:t>Professional indemnity or equivalent.</w:t>
            </w:r>
          </w:p>
        </w:tc>
      </w:tr>
      <w:tr w:rsidR="004B7931" w14:paraId="35F90E7D" w14:textId="77777777">
        <w:tc>
          <w:tcPr>
            <w:tcW w:w="600" w:type="dxa"/>
            <w:tcBorders>
              <w:top w:val="single" w:sz="4" w:space="0" w:color="D9D9D9"/>
              <w:left w:val="single" w:sz="4" w:space="0" w:color="D9D9D9"/>
              <w:bottom w:val="single" w:sz="4" w:space="0" w:color="D9D9D9"/>
              <w:right w:val="single" w:sz="4" w:space="0" w:color="D9D9D9"/>
            </w:tcBorders>
            <w:shd w:val="clear" w:color="auto" w:fill="F5F5F5"/>
            <w:tcMar>
              <w:top w:w="80" w:type="dxa"/>
              <w:left w:w="100" w:type="dxa"/>
              <w:bottom w:w="80" w:type="dxa"/>
              <w:right w:w="100" w:type="dxa"/>
            </w:tcMar>
          </w:tcPr>
          <w:p w14:paraId="1E5AD6A0" w14:textId="6800A707" w:rsidR="004B7931" w:rsidRPr="00311DC5" w:rsidRDefault="00311DC5">
            <w:pPr>
              <w:jc w:val="center"/>
              <w:rPr>
                <w:b/>
                <w:bCs/>
                <w:sz w:val="19"/>
                <w:szCs w:val="19"/>
              </w:rPr>
            </w:pPr>
            <w:r w:rsidRPr="00311DC5">
              <w:rPr>
                <w:b/>
                <w:bCs/>
                <w:sz w:val="19"/>
                <w:szCs w:val="19"/>
              </w:rPr>
              <w:t>6</w:t>
            </w:r>
          </w:p>
        </w:tc>
        <w:tc>
          <w:tcPr>
            <w:tcW w:w="2600" w:type="dxa"/>
            <w:tcBorders>
              <w:top w:val="single" w:sz="4" w:space="0" w:color="D9D9D9"/>
              <w:left w:val="single" w:sz="4" w:space="0" w:color="D9D9D9"/>
              <w:bottom w:val="single" w:sz="4" w:space="0" w:color="D9D9D9"/>
              <w:right w:val="single" w:sz="4" w:space="0" w:color="D9D9D9"/>
            </w:tcBorders>
            <w:shd w:val="clear" w:color="auto" w:fill="F5F5F5"/>
            <w:tcMar>
              <w:top w:w="80" w:type="dxa"/>
              <w:left w:w="120" w:type="dxa"/>
              <w:bottom w:w="80" w:type="dxa"/>
              <w:right w:w="120" w:type="dxa"/>
            </w:tcMar>
          </w:tcPr>
          <w:p w14:paraId="1DE8847B" w14:textId="77777777" w:rsidR="004B7931" w:rsidRDefault="00000000">
            <w:r>
              <w:rPr>
                <w:sz w:val="19"/>
                <w:szCs w:val="19"/>
              </w:rPr>
              <w:t>Geographic Coverage Map or Branch List</w:t>
            </w:r>
          </w:p>
        </w:tc>
        <w:tc>
          <w:tcPr>
            <w:tcW w:w="6160" w:type="dxa"/>
            <w:tcBorders>
              <w:top w:val="single" w:sz="4" w:space="0" w:color="D9D9D9"/>
              <w:left w:val="single" w:sz="4" w:space="0" w:color="D9D9D9"/>
              <w:bottom w:val="single" w:sz="4" w:space="0" w:color="D9D9D9"/>
              <w:right w:val="single" w:sz="4" w:space="0" w:color="D9D9D9"/>
            </w:tcBorders>
            <w:shd w:val="clear" w:color="auto" w:fill="F5F5F5"/>
            <w:tcMar>
              <w:top w:w="80" w:type="dxa"/>
              <w:left w:w="120" w:type="dxa"/>
              <w:bottom w:w="80" w:type="dxa"/>
              <w:right w:w="120" w:type="dxa"/>
            </w:tcMar>
          </w:tcPr>
          <w:p w14:paraId="7C2F19AD" w14:textId="77777777" w:rsidR="004B7931" w:rsidRDefault="00000000">
            <w:r>
              <w:rPr>
                <w:color w:val="555555"/>
                <w:sz w:val="19"/>
                <w:szCs w:val="19"/>
              </w:rPr>
              <w:t>By state and locality, including agent network.</w:t>
            </w:r>
          </w:p>
        </w:tc>
      </w:tr>
      <w:tr w:rsidR="004B7931" w14:paraId="302A2DC5" w14:textId="77777777">
        <w:tc>
          <w:tcPr>
            <w:tcW w:w="60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00" w:type="dxa"/>
              <w:bottom w:w="80" w:type="dxa"/>
              <w:right w:w="100" w:type="dxa"/>
            </w:tcMar>
          </w:tcPr>
          <w:p w14:paraId="2EADA901" w14:textId="3E1F96FF" w:rsidR="004B7931" w:rsidRPr="00311DC5" w:rsidRDefault="00311DC5">
            <w:pPr>
              <w:jc w:val="center"/>
              <w:rPr>
                <w:b/>
                <w:bCs/>
                <w:sz w:val="19"/>
                <w:szCs w:val="19"/>
              </w:rPr>
            </w:pPr>
            <w:r w:rsidRPr="00311DC5">
              <w:rPr>
                <w:b/>
                <w:bCs/>
                <w:sz w:val="19"/>
                <w:szCs w:val="19"/>
              </w:rPr>
              <w:t>7</w:t>
            </w:r>
          </w:p>
        </w:tc>
        <w:tc>
          <w:tcPr>
            <w:tcW w:w="260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14:paraId="57394BCD" w14:textId="77777777" w:rsidR="004B7931" w:rsidRDefault="00000000">
            <w:r>
              <w:rPr>
                <w:sz w:val="19"/>
                <w:szCs w:val="19"/>
              </w:rPr>
              <w:t>Liquidity Contingency Plan</w:t>
            </w:r>
          </w:p>
        </w:tc>
        <w:tc>
          <w:tcPr>
            <w:tcW w:w="616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14:paraId="4C1DD967" w14:textId="77777777" w:rsidR="004B7931" w:rsidRDefault="00000000">
            <w:r>
              <w:rPr>
                <w:color w:val="555555"/>
                <w:sz w:val="19"/>
                <w:szCs w:val="19"/>
              </w:rPr>
              <w:t>Maximum 2 pages.</w:t>
            </w:r>
          </w:p>
        </w:tc>
      </w:tr>
      <w:tr w:rsidR="004B7931" w14:paraId="5A31B5F6" w14:textId="77777777">
        <w:tc>
          <w:tcPr>
            <w:tcW w:w="600" w:type="dxa"/>
            <w:tcBorders>
              <w:top w:val="single" w:sz="4" w:space="0" w:color="D9D9D9"/>
              <w:left w:val="single" w:sz="4" w:space="0" w:color="D9D9D9"/>
              <w:bottom w:val="single" w:sz="4" w:space="0" w:color="D9D9D9"/>
              <w:right w:val="single" w:sz="4" w:space="0" w:color="D9D9D9"/>
            </w:tcBorders>
            <w:shd w:val="clear" w:color="auto" w:fill="F5F5F5"/>
            <w:tcMar>
              <w:top w:w="80" w:type="dxa"/>
              <w:left w:w="100" w:type="dxa"/>
              <w:bottom w:w="80" w:type="dxa"/>
              <w:right w:w="100" w:type="dxa"/>
            </w:tcMar>
          </w:tcPr>
          <w:p w14:paraId="5D2AA0E0" w14:textId="11970704" w:rsidR="004B7931" w:rsidRPr="00311DC5" w:rsidRDefault="00311DC5">
            <w:pPr>
              <w:jc w:val="center"/>
              <w:rPr>
                <w:b/>
                <w:bCs/>
                <w:sz w:val="19"/>
                <w:szCs w:val="19"/>
              </w:rPr>
            </w:pPr>
            <w:r w:rsidRPr="00311DC5">
              <w:rPr>
                <w:b/>
                <w:bCs/>
                <w:sz w:val="19"/>
                <w:szCs w:val="19"/>
              </w:rPr>
              <w:t>8</w:t>
            </w:r>
          </w:p>
        </w:tc>
        <w:tc>
          <w:tcPr>
            <w:tcW w:w="2600" w:type="dxa"/>
            <w:tcBorders>
              <w:top w:val="single" w:sz="4" w:space="0" w:color="D9D9D9"/>
              <w:left w:val="single" w:sz="4" w:space="0" w:color="D9D9D9"/>
              <w:bottom w:val="single" w:sz="4" w:space="0" w:color="D9D9D9"/>
              <w:right w:val="single" w:sz="4" w:space="0" w:color="D9D9D9"/>
            </w:tcBorders>
            <w:shd w:val="clear" w:color="auto" w:fill="F5F5F5"/>
            <w:tcMar>
              <w:top w:w="80" w:type="dxa"/>
              <w:left w:w="120" w:type="dxa"/>
              <w:bottom w:w="80" w:type="dxa"/>
              <w:right w:w="120" w:type="dxa"/>
            </w:tcMar>
          </w:tcPr>
          <w:p w14:paraId="476AA810" w14:textId="77777777" w:rsidR="004B7931" w:rsidRDefault="00000000">
            <w:r>
              <w:rPr>
                <w:sz w:val="19"/>
                <w:szCs w:val="19"/>
              </w:rPr>
              <w:t>Indicative Fee Schedule (Annex B)</w:t>
            </w:r>
          </w:p>
        </w:tc>
        <w:tc>
          <w:tcPr>
            <w:tcW w:w="6160" w:type="dxa"/>
            <w:tcBorders>
              <w:top w:val="single" w:sz="4" w:space="0" w:color="D9D9D9"/>
              <w:left w:val="single" w:sz="4" w:space="0" w:color="D9D9D9"/>
              <w:bottom w:val="single" w:sz="4" w:space="0" w:color="D9D9D9"/>
              <w:right w:val="single" w:sz="4" w:space="0" w:color="D9D9D9"/>
            </w:tcBorders>
            <w:shd w:val="clear" w:color="auto" w:fill="F5F5F5"/>
            <w:tcMar>
              <w:top w:w="80" w:type="dxa"/>
              <w:left w:w="120" w:type="dxa"/>
              <w:bottom w:w="80" w:type="dxa"/>
              <w:right w:w="120" w:type="dxa"/>
            </w:tcMar>
          </w:tcPr>
          <w:p w14:paraId="61BE3CDC" w14:textId="77777777" w:rsidR="004B7931" w:rsidRDefault="00000000">
            <w:r>
              <w:rPr>
                <w:color w:val="555555"/>
                <w:sz w:val="19"/>
                <w:szCs w:val="19"/>
              </w:rPr>
              <w:t>Use provided template.</w:t>
            </w:r>
          </w:p>
        </w:tc>
      </w:tr>
      <w:tr w:rsidR="004B7931" w14:paraId="781F4C28" w14:textId="77777777">
        <w:tc>
          <w:tcPr>
            <w:tcW w:w="60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00" w:type="dxa"/>
              <w:bottom w:w="80" w:type="dxa"/>
              <w:right w:w="100" w:type="dxa"/>
            </w:tcMar>
          </w:tcPr>
          <w:p w14:paraId="401E89BD" w14:textId="2A75F69F" w:rsidR="004B7931" w:rsidRPr="00311DC5" w:rsidRDefault="00311DC5">
            <w:pPr>
              <w:jc w:val="center"/>
              <w:rPr>
                <w:b/>
                <w:bCs/>
                <w:sz w:val="19"/>
                <w:szCs w:val="19"/>
              </w:rPr>
            </w:pPr>
            <w:r w:rsidRPr="00311DC5">
              <w:rPr>
                <w:b/>
                <w:bCs/>
                <w:sz w:val="19"/>
                <w:szCs w:val="19"/>
              </w:rPr>
              <w:t>9</w:t>
            </w:r>
          </w:p>
        </w:tc>
        <w:tc>
          <w:tcPr>
            <w:tcW w:w="260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14:paraId="6E96FCA9" w14:textId="77777777" w:rsidR="004B7931" w:rsidRDefault="00000000">
            <w:r>
              <w:rPr>
                <w:sz w:val="19"/>
                <w:szCs w:val="19"/>
              </w:rPr>
              <w:t>Portfolio of Past Programmes</w:t>
            </w:r>
          </w:p>
        </w:tc>
        <w:tc>
          <w:tcPr>
            <w:tcW w:w="616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14:paraId="3167D9E7" w14:textId="77777777" w:rsidR="004B7931" w:rsidRDefault="00000000">
            <w:r>
              <w:rPr>
                <w:color w:val="555555"/>
                <w:sz w:val="19"/>
                <w:szCs w:val="19"/>
              </w:rPr>
              <w:t>As per Section 6.1 requirements.</w:t>
            </w:r>
          </w:p>
        </w:tc>
      </w:tr>
      <w:tr w:rsidR="004B7931" w14:paraId="3DFD4C21" w14:textId="77777777">
        <w:tc>
          <w:tcPr>
            <w:tcW w:w="600" w:type="dxa"/>
            <w:tcBorders>
              <w:top w:val="single" w:sz="4" w:space="0" w:color="D9D9D9"/>
              <w:left w:val="single" w:sz="4" w:space="0" w:color="D9D9D9"/>
              <w:bottom w:val="single" w:sz="4" w:space="0" w:color="D9D9D9"/>
              <w:right w:val="single" w:sz="4" w:space="0" w:color="D9D9D9"/>
            </w:tcBorders>
            <w:shd w:val="clear" w:color="auto" w:fill="F5F5F5"/>
            <w:tcMar>
              <w:top w:w="80" w:type="dxa"/>
              <w:left w:w="100" w:type="dxa"/>
              <w:bottom w:w="80" w:type="dxa"/>
              <w:right w:w="100" w:type="dxa"/>
            </w:tcMar>
          </w:tcPr>
          <w:p w14:paraId="63B9812E" w14:textId="5C0B5689" w:rsidR="004B7931" w:rsidRPr="00311DC5" w:rsidRDefault="00000000">
            <w:pPr>
              <w:jc w:val="center"/>
              <w:rPr>
                <w:b/>
                <w:bCs/>
                <w:sz w:val="19"/>
                <w:szCs w:val="19"/>
              </w:rPr>
            </w:pPr>
            <w:r>
              <w:rPr>
                <w:b/>
                <w:bCs/>
                <w:sz w:val="19"/>
                <w:szCs w:val="19"/>
              </w:rPr>
              <w:t>1</w:t>
            </w:r>
            <w:r w:rsidR="00311DC5">
              <w:rPr>
                <w:b/>
                <w:bCs/>
                <w:sz w:val="19"/>
                <w:szCs w:val="19"/>
              </w:rPr>
              <w:t>0</w:t>
            </w:r>
          </w:p>
        </w:tc>
        <w:tc>
          <w:tcPr>
            <w:tcW w:w="2600" w:type="dxa"/>
            <w:tcBorders>
              <w:top w:val="single" w:sz="4" w:space="0" w:color="D9D9D9"/>
              <w:left w:val="single" w:sz="4" w:space="0" w:color="D9D9D9"/>
              <w:bottom w:val="single" w:sz="4" w:space="0" w:color="D9D9D9"/>
              <w:right w:val="single" w:sz="4" w:space="0" w:color="D9D9D9"/>
            </w:tcBorders>
            <w:shd w:val="clear" w:color="auto" w:fill="F5F5F5"/>
            <w:tcMar>
              <w:top w:w="80" w:type="dxa"/>
              <w:left w:w="120" w:type="dxa"/>
              <w:bottom w:w="80" w:type="dxa"/>
              <w:right w:w="120" w:type="dxa"/>
            </w:tcMar>
          </w:tcPr>
          <w:p w14:paraId="5E9DBC11" w14:textId="77777777" w:rsidR="004B7931" w:rsidRDefault="00000000">
            <w:r>
              <w:rPr>
                <w:sz w:val="19"/>
                <w:szCs w:val="19"/>
              </w:rPr>
              <w:t>Three (3) Professional References</w:t>
            </w:r>
          </w:p>
        </w:tc>
        <w:tc>
          <w:tcPr>
            <w:tcW w:w="6160" w:type="dxa"/>
            <w:tcBorders>
              <w:top w:val="single" w:sz="4" w:space="0" w:color="D9D9D9"/>
              <w:left w:val="single" w:sz="4" w:space="0" w:color="D9D9D9"/>
              <w:bottom w:val="single" w:sz="4" w:space="0" w:color="D9D9D9"/>
              <w:right w:val="single" w:sz="4" w:space="0" w:color="D9D9D9"/>
            </w:tcBorders>
            <w:shd w:val="clear" w:color="auto" w:fill="F5F5F5"/>
            <w:tcMar>
              <w:top w:w="80" w:type="dxa"/>
              <w:left w:w="120" w:type="dxa"/>
              <w:bottom w:w="80" w:type="dxa"/>
              <w:right w:w="120" w:type="dxa"/>
            </w:tcMar>
          </w:tcPr>
          <w:p w14:paraId="6444C9C4" w14:textId="77777777" w:rsidR="004B7931" w:rsidRDefault="00000000">
            <w:r>
              <w:rPr>
                <w:color w:val="555555"/>
                <w:sz w:val="19"/>
                <w:szCs w:val="19"/>
              </w:rPr>
              <w:t>Names, contact details, and programme descriptions.</w:t>
            </w:r>
          </w:p>
        </w:tc>
      </w:tr>
    </w:tbl>
    <w:p w14:paraId="395E655B" w14:textId="77777777" w:rsidR="004B7931" w:rsidRDefault="004B7931">
      <w:pPr>
        <w:spacing w:before="12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7B62"/>
        <w:tblCellMar>
          <w:left w:w="10" w:type="dxa"/>
          <w:right w:w="10" w:type="dxa"/>
        </w:tblCellMar>
        <w:tblLook w:val="04A0" w:firstRow="1" w:lastRow="0" w:firstColumn="1" w:lastColumn="0" w:noHBand="0" w:noVBand="1"/>
      </w:tblPr>
      <w:tblGrid>
        <w:gridCol w:w="9360"/>
      </w:tblGrid>
      <w:tr w:rsidR="004B7931" w14:paraId="77B3EFEF" w14:textId="77777777" w:rsidTr="007F3EB6">
        <w:tc>
          <w:tcPr>
            <w:tcW w:w="9360" w:type="dxa"/>
            <w:tcBorders>
              <w:top w:val="none" w:sz="0" w:space="0" w:color="FFFFFF"/>
              <w:left w:val="none" w:sz="0" w:space="0" w:color="FFFFFF"/>
              <w:bottom w:val="none" w:sz="0" w:space="0" w:color="FFFFFF"/>
              <w:right w:val="none" w:sz="0" w:space="0" w:color="FFFFFF"/>
            </w:tcBorders>
            <w:shd w:val="clear" w:color="auto" w:fill="007B62"/>
            <w:tcMar>
              <w:top w:w="100" w:type="dxa"/>
              <w:left w:w="200" w:type="dxa"/>
              <w:bottom w:w="100" w:type="dxa"/>
              <w:right w:w="200" w:type="dxa"/>
            </w:tcMar>
          </w:tcPr>
          <w:p w14:paraId="756325F4" w14:textId="77777777" w:rsidR="004B7931" w:rsidRDefault="00000000">
            <w:proofErr w:type="gramStart"/>
            <w:r>
              <w:rPr>
                <w:b/>
                <w:bCs/>
                <w:color w:val="FFFFFF"/>
                <w:sz w:val="22"/>
                <w:szCs w:val="22"/>
              </w:rPr>
              <w:t>7.2  Submission</w:t>
            </w:r>
            <w:proofErr w:type="gramEnd"/>
            <w:r>
              <w:rPr>
                <w:b/>
                <w:bCs/>
                <w:color w:val="FFFFFF"/>
                <w:sz w:val="22"/>
                <w:szCs w:val="22"/>
              </w:rPr>
              <w:t xml:space="preserve"> Instructions</w:t>
            </w:r>
          </w:p>
        </w:tc>
      </w:tr>
    </w:tbl>
    <w:p w14:paraId="4D088C0D" w14:textId="77777777" w:rsidR="004B7931" w:rsidRDefault="004B7931">
      <w:pPr>
        <w:spacing w:before="60" w:after="40"/>
      </w:pPr>
    </w:p>
    <w:p w14:paraId="5BF19BAC" w14:textId="77777777" w:rsidR="004B7931" w:rsidRDefault="00000000">
      <w:pPr>
        <w:spacing w:before="40" w:after="40"/>
        <w:ind w:left="720" w:hanging="360"/>
      </w:pPr>
      <w:r>
        <w:rPr>
          <w:sz w:val="19"/>
          <w:szCs w:val="19"/>
        </w:rPr>
        <w:t>•  All submissions must be in English and in PDF format (unless Excel templates are specifically required).</w:t>
      </w:r>
    </w:p>
    <w:p w14:paraId="5EEE043A" w14:textId="5857D752" w:rsidR="004B7931" w:rsidRDefault="00000000">
      <w:pPr>
        <w:spacing w:before="40" w:after="40"/>
        <w:ind w:left="720" w:hanging="360"/>
      </w:pPr>
      <w:r>
        <w:rPr>
          <w:sz w:val="19"/>
          <w:szCs w:val="19"/>
        </w:rPr>
        <w:t>•  Documents must be submitted by email to: procurement@adrasudan.org</w:t>
      </w:r>
    </w:p>
    <w:p w14:paraId="6C2510BD" w14:textId="2082E354" w:rsidR="004B7931" w:rsidRDefault="00000000">
      <w:pPr>
        <w:spacing w:before="40" w:after="40"/>
        <w:ind w:left="720" w:hanging="360"/>
      </w:pPr>
      <w:r>
        <w:rPr>
          <w:sz w:val="19"/>
          <w:szCs w:val="19"/>
        </w:rPr>
        <w:t>•  The email subject line must read exactly: "EOI ADRA-SDN/CBI/EOI/202</w:t>
      </w:r>
      <w:r w:rsidR="007F3EB6">
        <w:rPr>
          <w:sz w:val="19"/>
          <w:szCs w:val="19"/>
        </w:rPr>
        <w:t>6</w:t>
      </w:r>
      <w:r>
        <w:rPr>
          <w:sz w:val="19"/>
          <w:szCs w:val="19"/>
        </w:rPr>
        <w:t>/001 – [FSP Name]"</w:t>
      </w:r>
    </w:p>
    <w:p w14:paraId="65002389" w14:textId="77777777" w:rsidR="004B7931" w:rsidRDefault="00000000">
      <w:pPr>
        <w:spacing w:before="40" w:after="40"/>
        <w:ind w:left="720" w:hanging="360"/>
      </w:pPr>
      <w:r>
        <w:rPr>
          <w:sz w:val="19"/>
          <w:szCs w:val="19"/>
        </w:rPr>
        <w:t>•  Late submissions will not be accepted.</w:t>
      </w:r>
    </w:p>
    <w:p w14:paraId="516028CB" w14:textId="77777777" w:rsidR="004B7931" w:rsidRDefault="00000000">
      <w:pPr>
        <w:spacing w:before="40" w:after="40"/>
        <w:ind w:left="720" w:hanging="360"/>
      </w:pPr>
      <w:r>
        <w:rPr>
          <w:sz w:val="19"/>
          <w:szCs w:val="19"/>
        </w:rPr>
        <w:t>•  Physical submissions are not accepted for this EOI.</w:t>
      </w:r>
    </w:p>
    <w:p w14:paraId="7109CE68" w14:textId="77777777" w:rsidR="004B7931" w:rsidRDefault="00000000">
      <w:pPr>
        <w:spacing w:before="40" w:after="40"/>
        <w:ind w:left="720" w:hanging="360"/>
      </w:pPr>
      <w:r>
        <w:rPr>
          <w:sz w:val="19"/>
          <w:szCs w:val="19"/>
        </w:rPr>
        <w:t>•  ADRA Sudan will issue an acknowledgement of receipt within two (2) business days.</w:t>
      </w:r>
    </w:p>
    <w:p w14:paraId="204063BE" w14:textId="77777777" w:rsidR="004B7931" w:rsidRDefault="004B7931">
      <w:pPr>
        <w:spacing w:before="12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7B62"/>
        <w:tblCellMar>
          <w:left w:w="10" w:type="dxa"/>
          <w:right w:w="10" w:type="dxa"/>
        </w:tblCellMar>
        <w:tblLook w:val="04A0" w:firstRow="1" w:lastRow="0" w:firstColumn="1" w:lastColumn="0" w:noHBand="0" w:noVBand="1"/>
      </w:tblPr>
      <w:tblGrid>
        <w:gridCol w:w="9360"/>
      </w:tblGrid>
      <w:tr w:rsidR="004B7931" w14:paraId="52E7C1A1" w14:textId="77777777" w:rsidTr="007F3EB6">
        <w:tc>
          <w:tcPr>
            <w:tcW w:w="9360" w:type="dxa"/>
            <w:tcBorders>
              <w:top w:val="none" w:sz="0" w:space="0" w:color="FFFFFF"/>
              <w:left w:val="none" w:sz="0" w:space="0" w:color="FFFFFF"/>
              <w:bottom w:val="none" w:sz="0" w:space="0" w:color="FFFFFF"/>
              <w:right w:val="none" w:sz="0" w:space="0" w:color="FFFFFF"/>
            </w:tcBorders>
            <w:shd w:val="clear" w:color="auto" w:fill="007B62"/>
            <w:tcMar>
              <w:top w:w="100" w:type="dxa"/>
              <w:left w:w="200" w:type="dxa"/>
              <w:bottom w:w="100" w:type="dxa"/>
              <w:right w:w="200" w:type="dxa"/>
            </w:tcMar>
          </w:tcPr>
          <w:p w14:paraId="613F4285" w14:textId="77777777" w:rsidR="004B7931" w:rsidRDefault="00000000">
            <w:proofErr w:type="gramStart"/>
            <w:r>
              <w:rPr>
                <w:b/>
                <w:bCs/>
                <w:color w:val="FFFFFF"/>
                <w:sz w:val="22"/>
                <w:szCs w:val="22"/>
              </w:rPr>
              <w:t>7.3  Clarification</w:t>
            </w:r>
            <w:proofErr w:type="gramEnd"/>
            <w:r>
              <w:rPr>
                <w:b/>
                <w:bCs/>
                <w:color w:val="FFFFFF"/>
                <w:sz w:val="22"/>
                <w:szCs w:val="22"/>
              </w:rPr>
              <w:t xml:space="preserve"> Requests</w:t>
            </w:r>
          </w:p>
        </w:tc>
      </w:tr>
    </w:tbl>
    <w:p w14:paraId="1FFC2B1C" w14:textId="77777777" w:rsidR="004B7931" w:rsidRDefault="004B7931">
      <w:pPr>
        <w:spacing w:before="60" w:after="40"/>
      </w:pPr>
    </w:p>
    <w:p w14:paraId="280EA10C" w14:textId="41F4CD68" w:rsidR="004B7931" w:rsidRDefault="00000000">
      <w:pPr>
        <w:spacing w:before="80" w:after="80"/>
      </w:pPr>
      <w:r>
        <w:t xml:space="preserve">Any questions or requests for clarification regarding this EOI must be submitted in writing by email to </w:t>
      </w:r>
      <w:hyperlink r:id="rId8" w:history="1">
        <w:r w:rsidR="002860CB" w:rsidRPr="009A6D56">
          <w:rPr>
            <w:rStyle w:val="Hyperlink"/>
          </w:rPr>
          <w:t>info@adrasudan.org</w:t>
        </w:r>
      </w:hyperlink>
      <w:r w:rsidR="007F3EB6">
        <w:t xml:space="preserve"> </w:t>
      </w:r>
      <w:r>
        <w:t xml:space="preserve">no later than </w:t>
      </w:r>
      <w:r w:rsidR="007F3EB6">
        <w:t xml:space="preserve">May </w:t>
      </w:r>
      <w:r w:rsidR="002860CB">
        <w:t>2</w:t>
      </w:r>
      <w:r w:rsidR="007F3EB6">
        <w:t>5</w:t>
      </w:r>
      <w:r w:rsidR="007F3EB6" w:rsidRPr="007F3EB6">
        <w:rPr>
          <w:vertAlign w:val="superscript"/>
        </w:rPr>
        <w:t>th</w:t>
      </w:r>
      <w:r w:rsidR="007F3EB6">
        <w:t xml:space="preserve">, 2026. </w:t>
      </w:r>
      <w:r>
        <w:t>ADRA Sudan will compile and circulate responses to all registered applicants. No verbal clarifications will be binding.</w:t>
      </w:r>
    </w:p>
    <w:p w14:paraId="544514F6" w14:textId="77777777" w:rsidR="004B7931" w:rsidRDefault="00000000">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7B62"/>
        <w:tblCellMar>
          <w:left w:w="10" w:type="dxa"/>
          <w:right w:w="10" w:type="dxa"/>
        </w:tblCellMar>
        <w:tblLook w:val="04A0" w:firstRow="1" w:lastRow="0" w:firstColumn="1" w:lastColumn="0" w:noHBand="0" w:noVBand="1"/>
      </w:tblPr>
      <w:tblGrid>
        <w:gridCol w:w="9360"/>
      </w:tblGrid>
      <w:tr w:rsidR="004B7931" w14:paraId="74E43FB0" w14:textId="77777777" w:rsidTr="007F3EB6">
        <w:tc>
          <w:tcPr>
            <w:tcW w:w="9360" w:type="dxa"/>
            <w:tcBorders>
              <w:top w:val="none" w:sz="0" w:space="0" w:color="FFFFFF"/>
              <w:left w:val="none" w:sz="0" w:space="0" w:color="FFFFFF"/>
              <w:bottom w:val="none" w:sz="0" w:space="0" w:color="FFFFFF"/>
              <w:right w:val="none" w:sz="0" w:space="0" w:color="FFFFFF"/>
            </w:tcBorders>
            <w:shd w:val="clear" w:color="auto" w:fill="007B62"/>
            <w:tcMar>
              <w:top w:w="140" w:type="dxa"/>
              <w:left w:w="220" w:type="dxa"/>
              <w:bottom w:w="140" w:type="dxa"/>
              <w:right w:w="220" w:type="dxa"/>
            </w:tcMar>
          </w:tcPr>
          <w:p w14:paraId="794205C5" w14:textId="77777777" w:rsidR="004B7931" w:rsidRDefault="00000000">
            <w:r>
              <w:rPr>
                <w:b/>
                <w:bCs/>
                <w:color w:val="FFFFFF"/>
                <w:sz w:val="26"/>
                <w:szCs w:val="26"/>
              </w:rPr>
              <w:lastRenderedPageBreak/>
              <w:t>SECTION 8: EVALUATION PROCESS AND CRITERIA</w:t>
            </w:r>
          </w:p>
        </w:tc>
      </w:tr>
    </w:tbl>
    <w:p w14:paraId="736C3D25" w14:textId="77777777" w:rsidR="004B7931" w:rsidRDefault="004B7931">
      <w:pPr>
        <w:spacing w:before="80" w:after="60"/>
      </w:pPr>
    </w:p>
    <w:p w14:paraId="1A72982C" w14:textId="77777777" w:rsidR="004B7931" w:rsidRDefault="00000000">
      <w:pPr>
        <w:spacing w:before="80" w:after="80"/>
      </w:pPr>
      <w:r>
        <w:t>Submissions will be evaluated by ADRA Sudan’s Procurement Committee using the weighted scoring framework below. Legal and Compliance criteria are assessed on a Pass/Fail basis. FSPs that fail any mandatory criterion will not proceed to the scored evaluation.</w:t>
      </w:r>
    </w:p>
    <w:p w14:paraId="3944A0D5" w14:textId="77777777" w:rsidR="004B7931" w:rsidRDefault="004B7931">
      <w:pPr>
        <w:spacing w:before="8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1200"/>
        <w:gridCol w:w="5560"/>
      </w:tblGrid>
      <w:tr w:rsidR="004B7931" w14:paraId="5231E4AE" w14:textId="77777777" w:rsidTr="007F3EB6">
        <w:tc>
          <w:tcPr>
            <w:tcW w:w="2600" w:type="dxa"/>
            <w:tcBorders>
              <w:top w:val="single" w:sz="4" w:space="0" w:color="D9D9D9"/>
              <w:left w:val="single" w:sz="4" w:space="0" w:color="D9D9D9"/>
              <w:bottom w:val="single" w:sz="4" w:space="0" w:color="D9D9D9"/>
              <w:right w:val="single" w:sz="4" w:space="0" w:color="D9D9D9"/>
            </w:tcBorders>
            <w:shd w:val="clear" w:color="auto" w:fill="007B62"/>
            <w:tcMar>
              <w:top w:w="80" w:type="dxa"/>
              <w:left w:w="120" w:type="dxa"/>
              <w:bottom w:w="80" w:type="dxa"/>
              <w:right w:w="120" w:type="dxa"/>
            </w:tcMar>
          </w:tcPr>
          <w:p w14:paraId="18DAE4D9" w14:textId="77777777" w:rsidR="004B7931" w:rsidRDefault="00000000">
            <w:r>
              <w:rPr>
                <w:b/>
                <w:bCs/>
                <w:color w:val="FFFFFF"/>
                <w:sz w:val="19"/>
                <w:szCs w:val="19"/>
              </w:rPr>
              <w:t>Criteria Category</w:t>
            </w:r>
          </w:p>
        </w:tc>
        <w:tc>
          <w:tcPr>
            <w:tcW w:w="1200" w:type="dxa"/>
            <w:tcBorders>
              <w:top w:val="single" w:sz="4" w:space="0" w:color="D9D9D9"/>
              <w:left w:val="single" w:sz="4" w:space="0" w:color="D9D9D9"/>
              <w:bottom w:val="single" w:sz="4" w:space="0" w:color="D9D9D9"/>
              <w:right w:val="single" w:sz="4" w:space="0" w:color="D9D9D9"/>
            </w:tcBorders>
            <w:shd w:val="clear" w:color="auto" w:fill="007B62"/>
            <w:tcMar>
              <w:top w:w="80" w:type="dxa"/>
              <w:left w:w="120" w:type="dxa"/>
              <w:bottom w:w="80" w:type="dxa"/>
              <w:right w:w="120" w:type="dxa"/>
            </w:tcMar>
          </w:tcPr>
          <w:p w14:paraId="208A07AA" w14:textId="77777777" w:rsidR="004B7931" w:rsidRDefault="00000000">
            <w:pPr>
              <w:jc w:val="center"/>
            </w:pPr>
            <w:r>
              <w:rPr>
                <w:b/>
                <w:bCs/>
                <w:color w:val="FFFFFF"/>
                <w:sz w:val="19"/>
                <w:szCs w:val="19"/>
              </w:rPr>
              <w:t>Weight</w:t>
            </w:r>
          </w:p>
        </w:tc>
        <w:tc>
          <w:tcPr>
            <w:tcW w:w="5560" w:type="dxa"/>
            <w:tcBorders>
              <w:top w:val="single" w:sz="4" w:space="0" w:color="D9D9D9"/>
              <w:left w:val="single" w:sz="4" w:space="0" w:color="D9D9D9"/>
              <w:bottom w:val="single" w:sz="4" w:space="0" w:color="D9D9D9"/>
              <w:right w:val="single" w:sz="4" w:space="0" w:color="D9D9D9"/>
            </w:tcBorders>
            <w:shd w:val="clear" w:color="auto" w:fill="007B62"/>
            <w:tcMar>
              <w:top w:w="80" w:type="dxa"/>
              <w:left w:w="120" w:type="dxa"/>
              <w:bottom w:w="80" w:type="dxa"/>
              <w:right w:w="120" w:type="dxa"/>
            </w:tcMar>
          </w:tcPr>
          <w:p w14:paraId="6A54CC63" w14:textId="77777777" w:rsidR="004B7931" w:rsidRDefault="00000000">
            <w:r>
              <w:rPr>
                <w:b/>
                <w:bCs/>
                <w:color w:val="FFFFFF"/>
                <w:sz w:val="19"/>
                <w:szCs w:val="19"/>
              </w:rPr>
              <w:t>Key Evaluation Indicator</w:t>
            </w:r>
          </w:p>
        </w:tc>
      </w:tr>
      <w:tr w:rsidR="004B7931" w14:paraId="0D52E263" w14:textId="77777777">
        <w:tc>
          <w:tcPr>
            <w:tcW w:w="2600" w:type="dxa"/>
            <w:tcBorders>
              <w:top w:val="single" w:sz="4" w:space="0" w:color="D9D9D9"/>
              <w:left w:val="single" w:sz="4" w:space="0" w:color="D9D9D9"/>
              <w:bottom w:val="single" w:sz="4" w:space="0" w:color="D9D9D9"/>
              <w:right w:val="single" w:sz="4" w:space="0" w:color="D9D9D9"/>
            </w:tcBorders>
            <w:shd w:val="clear" w:color="auto" w:fill="FFF5F5"/>
            <w:tcMar>
              <w:top w:w="80" w:type="dxa"/>
              <w:left w:w="120" w:type="dxa"/>
              <w:bottom w:w="80" w:type="dxa"/>
              <w:right w:w="120" w:type="dxa"/>
            </w:tcMar>
          </w:tcPr>
          <w:p w14:paraId="5F1EC492" w14:textId="77777777" w:rsidR="004B7931" w:rsidRDefault="00000000">
            <w:r>
              <w:rPr>
                <w:b/>
                <w:bCs/>
                <w:sz w:val="19"/>
                <w:szCs w:val="19"/>
              </w:rPr>
              <w:t>Legal &amp; Compliance</w:t>
            </w:r>
          </w:p>
        </w:tc>
        <w:tc>
          <w:tcPr>
            <w:tcW w:w="1200" w:type="dxa"/>
            <w:tcBorders>
              <w:top w:val="single" w:sz="4" w:space="0" w:color="D9D9D9"/>
              <w:left w:val="single" w:sz="4" w:space="0" w:color="D9D9D9"/>
              <w:bottom w:val="single" w:sz="4" w:space="0" w:color="D9D9D9"/>
              <w:right w:val="single" w:sz="4" w:space="0" w:color="D9D9D9"/>
            </w:tcBorders>
            <w:shd w:val="clear" w:color="auto" w:fill="FFF5F5"/>
            <w:tcMar>
              <w:top w:w="80" w:type="dxa"/>
              <w:left w:w="120" w:type="dxa"/>
              <w:bottom w:w="80" w:type="dxa"/>
              <w:right w:w="120" w:type="dxa"/>
            </w:tcMar>
          </w:tcPr>
          <w:p w14:paraId="3A67FB51" w14:textId="77777777" w:rsidR="004B7931" w:rsidRDefault="00000000">
            <w:pPr>
              <w:jc w:val="center"/>
            </w:pPr>
            <w:r>
              <w:rPr>
                <w:b/>
                <w:bCs/>
                <w:color w:val="1F4E79"/>
              </w:rPr>
              <w:t>Pass/Fail</w:t>
            </w:r>
          </w:p>
        </w:tc>
        <w:tc>
          <w:tcPr>
            <w:tcW w:w="5560" w:type="dxa"/>
            <w:tcBorders>
              <w:top w:val="single" w:sz="4" w:space="0" w:color="D9D9D9"/>
              <w:left w:val="single" w:sz="4" w:space="0" w:color="D9D9D9"/>
              <w:bottom w:val="single" w:sz="4" w:space="0" w:color="D9D9D9"/>
              <w:right w:val="single" w:sz="4" w:space="0" w:color="D9D9D9"/>
            </w:tcBorders>
            <w:shd w:val="clear" w:color="auto" w:fill="FFF5F5"/>
            <w:tcMar>
              <w:top w:w="80" w:type="dxa"/>
              <w:left w:w="120" w:type="dxa"/>
              <w:bottom w:w="80" w:type="dxa"/>
              <w:right w:w="120" w:type="dxa"/>
            </w:tcMar>
          </w:tcPr>
          <w:p w14:paraId="422129F1" w14:textId="7A1B86CF" w:rsidR="004B7931" w:rsidRDefault="00000000">
            <w:proofErr w:type="spellStart"/>
            <w:r>
              <w:rPr>
                <w:sz w:val="19"/>
                <w:szCs w:val="19"/>
              </w:rPr>
              <w:t>CBoS</w:t>
            </w:r>
            <w:proofErr w:type="spellEnd"/>
            <w:r>
              <w:rPr>
                <w:sz w:val="19"/>
                <w:szCs w:val="19"/>
              </w:rPr>
              <w:t xml:space="preserve"> license valid; AML/KYC policies </w:t>
            </w:r>
            <w:proofErr w:type="gramStart"/>
            <w:r>
              <w:rPr>
                <w:sz w:val="19"/>
                <w:szCs w:val="19"/>
              </w:rPr>
              <w:t>compliant;.</w:t>
            </w:r>
            <w:proofErr w:type="gramEnd"/>
            <w:r>
              <w:rPr>
                <w:sz w:val="19"/>
                <w:szCs w:val="19"/>
              </w:rPr>
              <w:t xml:space="preserve"> Any failure = automatic disqualification.</w:t>
            </w:r>
          </w:p>
        </w:tc>
      </w:tr>
      <w:tr w:rsidR="004B7931" w14:paraId="0869C5DD" w14:textId="77777777">
        <w:tc>
          <w:tcPr>
            <w:tcW w:w="2600" w:type="dxa"/>
            <w:tcBorders>
              <w:top w:val="single" w:sz="4" w:space="0" w:color="D9D9D9"/>
              <w:left w:val="single" w:sz="4" w:space="0" w:color="D9D9D9"/>
              <w:bottom w:val="single" w:sz="4" w:space="0" w:color="D9D9D9"/>
              <w:right w:val="single" w:sz="4" w:space="0" w:color="D9D9D9"/>
            </w:tcBorders>
            <w:shd w:val="clear" w:color="auto" w:fill="F5F5F5"/>
            <w:tcMar>
              <w:top w:w="80" w:type="dxa"/>
              <w:left w:w="120" w:type="dxa"/>
              <w:bottom w:w="80" w:type="dxa"/>
              <w:right w:w="120" w:type="dxa"/>
            </w:tcMar>
          </w:tcPr>
          <w:p w14:paraId="3FC3AFA7" w14:textId="77777777" w:rsidR="004B7931" w:rsidRDefault="00000000">
            <w:r>
              <w:rPr>
                <w:b/>
                <w:bCs/>
                <w:sz w:val="19"/>
                <w:szCs w:val="19"/>
              </w:rPr>
              <w:t>Operational Reach &amp; Geographic Coverage</w:t>
            </w:r>
          </w:p>
        </w:tc>
        <w:tc>
          <w:tcPr>
            <w:tcW w:w="1200" w:type="dxa"/>
            <w:tcBorders>
              <w:top w:val="single" w:sz="4" w:space="0" w:color="D9D9D9"/>
              <w:left w:val="single" w:sz="4" w:space="0" w:color="D9D9D9"/>
              <w:bottom w:val="single" w:sz="4" w:space="0" w:color="D9D9D9"/>
              <w:right w:val="single" w:sz="4" w:space="0" w:color="D9D9D9"/>
            </w:tcBorders>
            <w:shd w:val="clear" w:color="auto" w:fill="F5F5F5"/>
            <w:tcMar>
              <w:top w:w="80" w:type="dxa"/>
              <w:left w:w="120" w:type="dxa"/>
              <w:bottom w:w="80" w:type="dxa"/>
              <w:right w:w="120" w:type="dxa"/>
            </w:tcMar>
          </w:tcPr>
          <w:p w14:paraId="513682A4" w14:textId="77777777" w:rsidR="004B7931" w:rsidRDefault="00000000">
            <w:pPr>
              <w:jc w:val="center"/>
            </w:pPr>
            <w:r>
              <w:rPr>
                <w:b/>
                <w:bCs/>
                <w:color w:val="1F4E79"/>
              </w:rPr>
              <w:t>30%</w:t>
            </w:r>
          </w:p>
        </w:tc>
        <w:tc>
          <w:tcPr>
            <w:tcW w:w="5560" w:type="dxa"/>
            <w:tcBorders>
              <w:top w:val="single" w:sz="4" w:space="0" w:color="D9D9D9"/>
              <w:left w:val="single" w:sz="4" w:space="0" w:color="D9D9D9"/>
              <w:bottom w:val="single" w:sz="4" w:space="0" w:color="D9D9D9"/>
              <w:right w:val="single" w:sz="4" w:space="0" w:color="D9D9D9"/>
            </w:tcBorders>
            <w:shd w:val="clear" w:color="auto" w:fill="F5F5F5"/>
            <w:tcMar>
              <w:top w:w="80" w:type="dxa"/>
              <w:left w:w="120" w:type="dxa"/>
              <w:bottom w:w="80" w:type="dxa"/>
              <w:right w:w="120" w:type="dxa"/>
            </w:tcMar>
          </w:tcPr>
          <w:p w14:paraId="333EB9C7" w14:textId="77777777" w:rsidR="004B7931" w:rsidRDefault="00000000">
            <w:r>
              <w:rPr>
                <w:sz w:val="19"/>
                <w:szCs w:val="19"/>
              </w:rPr>
              <w:t>Number of active agents/branches in ADRA Sudan target states; last-mile reach in conflict-affected areas; coverage density.</w:t>
            </w:r>
          </w:p>
        </w:tc>
      </w:tr>
      <w:tr w:rsidR="004B7931" w14:paraId="10E78F25" w14:textId="77777777">
        <w:tc>
          <w:tcPr>
            <w:tcW w:w="260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14:paraId="5CD85619" w14:textId="77777777" w:rsidR="004B7931" w:rsidRDefault="00000000">
            <w:r>
              <w:rPr>
                <w:b/>
                <w:bCs/>
                <w:sz w:val="19"/>
                <w:szCs w:val="19"/>
              </w:rPr>
              <w:t>Technical Capacity &amp; Resilience</w:t>
            </w:r>
          </w:p>
        </w:tc>
        <w:tc>
          <w:tcPr>
            <w:tcW w:w="120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14:paraId="726BDA5D" w14:textId="77777777" w:rsidR="004B7931" w:rsidRDefault="00000000">
            <w:pPr>
              <w:jc w:val="center"/>
            </w:pPr>
            <w:r>
              <w:rPr>
                <w:b/>
                <w:bCs/>
                <w:color w:val="1F4E79"/>
              </w:rPr>
              <w:t>20%</w:t>
            </w:r>
          </w:p>
        </w:tc>
        <w:tc>
          <w:tcPr>
            <w:tcW w:w="556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14:paraId="2EA52775" w14:textId="77777777" w:rsidR="004B7931" w:rsidRDefault="00000000">
            <w:r>
              <w:rPr>
                <w:sz w:val="19"/>
                <w:szCs w:val="19"/>
              </w:rPr>
              <w:t>Reliability of delivery platform(s); offline/low-connectivity capability; throughput speed; business continuity plans.</w:t>
            </w:r>
          </w:p>
        </w:tc>
      </w:tr>
      <w:tr w:rsidR="004B7931" w14:paraId="4D514C66" w14:textId="77777777">
        <w:tc>
          <w:tcPr>
            <w:tcW w:w="2600" w:type="dxa"/>
            <w:tcBorders>
              <w:top w:val="single" w:sz="4" w:space="0" w:color="D9D9D9"/>
              <w:left w:val="single" w:sz="4" w:space="0" w:color="D9D9D9"/>
              <w:bottom w:val="single" w:sz="4" w:space="0" w:color="D9D9D9"/>
              <w:right w:val="single" w:sz="4" w:space="0" w:color="D9D9D9"/>
            </w:tcBorders>
            <w:shd w:val="clear" w:color="auto" w:fill="F5F5F5"/>
            <w:tcMar>
              <w:top w:w="80" w:type="dxa"/>
              <w:left w:w="120" w:type="dxa"/>
              <w:bottom w:w="80" w:type="dxa"/>
              <w:right w:w="120" w:type="dxa"/>
            </w:tcMar>
          </w:tcPr>
          <w:p w14:paraId="1E6B378A" w14:textId="77777777" w:rsidR="004B7931" w:rsidRDefault="00000000">
            <w:r>
              <w:rPr>
                <w:b/>
                <w:bCs/>
                <w:sz w:val="19"/>
                <w:szCs w:val="19"/>
              </w:rPr>
              <w:t>Financial Proposal</w:t>
            </w:r>
          </w:p>
        </w:tc>
        <w:tc>
          <w:tcPr>
            <w:tcW w:w="1200" w:type="dxa"/>
            <w:tcBorders>
              <w:top w:val="single" w:sz="4" w:space="0" w:color="D9D9D9"/>
              <w:left w:val="single" w:sz="4" w:space="0" w:color="D9D9D9"/>
              <w:bottom w:val="single" w:sz="4" w:space="0" w:color="D9D9D9"/>
              <w:right w:val="single" w:sz="4" w:space="0" w:color="D9D9D9"/>
            </w:tcBorders>
            <w:shd w:val="clear" w:color="auto" w:fill="F5F5F5"/>
            <w:tcMar>
              <w:top w:w="80" w:type="dxa"/>
              <w:left w:w="120" w:type="dxa"/>
              <w:bottom w:w="80" w:type="dxa"/>
              <w:right w:w="120" w:type="dxa"/>
            </w:tcMar>
          </w:tcPr>
          <w:p w14:paraId="123E6C59" w14:textId="77777777" w:rsidR="004B7931" w:rsidRDefault="00000000">
            <w:pPr>
              <w:jc w:val="center"/>
            </w:pPr>
            <w:r>
              <w:rPr>
                <w:b/>
                <w:bCs/>
                <w:color w:val="1F4E79"/>
              </w:rPr>
              <w:t>15%</w:t>
            </w:r>
          </w:p>
        </w:tc>
        <w:tc>
          <w:tcPr>
            <w:tcW w:w="5560" w:type="dxa"/>
            <w:tcBorders>
              <w:top w:val="single" w:sz="4" w:space="0" w:color="D9D9D9"/>
              <w:left w:val="single" w:sz="4" w:space="0" w:color="D9D9D9"/>
              <w:bottom w:val="single" w:sz="4" w:space="0" w:color="D9D9D9"/>
              <w:right w:val="single" w:sz="4" w:space="0" w:color="D9D9D9"/>
            </w:tcBorders>
            <w:shd w:val="clear" w:color="auto" w:fill="F5F5F5"/>
            <w:tcMar>
              <w:top w:w="80" w:type="dxa"/>
              <w:left w:w="120" w:type="dxa"/>
              <w:bottom w:w="80" w:type="dxa"/>
              <w:right w:w="120" w:type="dxa"/>
            </w:tcMar>
          </w:tcPr>
          <w:p w14:paraId="7FCF432F" w14:textId="77777777" w:rsidR="004B7931" w:rsidRDefault="00000000">
            <w:r>
              <w:rPr>
                <w:sz w:val="19"/>
                <w:szCs w:val="19"/>
              </w:rPr>
              <w:t>Competitive commission rates; transparency of fee structure; zero or minimal beneficiary-facing fees; exchange rate transparency.</w:t>
            </w:r>
          </w:p>
        </w:tc>
      </w:tr>
      <w:tr w:rsidR="004B7931" w14:paraId="0686C41F" w14:textId="77777777" w:rsidTr="007F3EB6">
        <w:tc>
          <w:tcPr>
            <w:tcW w:w="2600" w:type="dxa"/>
            <w:tcBorders>
              <w:top w:val="single" w:sz="4" w:space="0" w:color="D9D9D9"/>
              <w:left w:val="single" w:sz="4" w:space="0" w:color="D9D9D9"/>
              <w:bottom w:val="single" w:sz="4" w:space="0" w:color="D9D9D9"/>
              <w:right w:val="single" w:sz="4" w:space="0" w:color="D9D9D9"/>
            </w:tcBorders>
            <w:shd w:val="clear" w:color="auto" w:fill="007B62"/>
            <w:tcMar>
              <w:top w:w="80" w:type="dxa"/>
              <w:left w:w="120" w:type="dxa"/>
              <w:bottom w:w="80" w:type="dxa"/>
              <w:right w:w="120" w:type="dxa"/>
            </w:tcMar>
          </w:tcPr>
          <w:p w14:paraId="42ECB54E" w14:textId="77777777" w:rsidR="004B7931" w:rsidRDefault="00000000">
            <w:proofErr w:type="gramStart"/>
            <w:r>
              <w:rPr>
                <w:b/>
                <w:bCs/>
                <w:sz w:val="19"/>
                <w:szCs w:val="19"/>
              </w:rPr>
              <w:t>Past Experience</w:t>
            </w:r>
            <w:proofErr w:type="gramEnd"/>
          </w:p>
        </w:tc>
        <w:tc>
          <w:tcPr>
            <w:tcW w:w="1200" w:type="dxa"/>
            <w:tcBorders>
              <w:top w:val="single" w:sz="4" w:space="0" w:color="D9D9D9"/>
              <w:left w:val="single" w:sz="4" w:space="0" w:color="D9D9D9"/>
              <w:bottom w:val="single" w:sz="4" w:space="0" w:color="D9D9D9"/>
              <w:right w:val="single" w:sz="4" w:space="0" w:color="D9D9D9"/>
            </w:tcBorders>
            <w:shd w:val="clear" w:color="auto" w:fill="007B62"/>
            <w:tcMar>
              <w:top w:w="80" w:type="dxa"/>
              <w:left w:w="120" w:type="dxa"/>
              <w:bottom w:w="80" w:type="dxa"/>
              <w:right w:w="120" w:type="dxa"/>
            </w:tcMar>
          </w:tcPr>
          <w:p w14:paraId="0DF4396C" w14:textId="77777777" w:rsidR="004B7931" w:rsidRDefault="00000000">
            <w:pPr>
              <w:jc w:val="center"/>
            </w:pPr>
            <w:r>
              <w:rPr>
                <w:b/>
                <w:bCs/>
                <w:color w:val="1F4E79"/>
              </w:rPr>
              <w:t>10%</w:t>
            </w:r>
          </w:p>
        </w:tc>
        <w:tc>
          <w:tcPr>
            <w:tcW w:w="5560" w:type="dxa"/>
            <w:tcBorders>
              <w:top w:val="single" w:sz="4" w:space="0" w:color="D9D9D9"/>
              <w:left w:val="single" w:sz="4" w:space="0" w:color="D9D9D9"/>
              <w:bottom w:val="single" w:sz="4" w:space="0" w:color="D9D9D9"/>
              <w:right w:val="single" w:sz="4" w:space="0" w:color="D9D9D9"/>
            </w:tcBorders>
            <w:shd w:val="clear" w:color="auto" w:fill="007B62"/>
            <w:tcMar>
              <w:top w:w="80" w:type="dxa"/>
              <w:left w:w="120" w:type="dxa"/>
              <w:bottom w:w="80" w:type="dxa"/>
              <w:right w:w="120" w:type="dxa"/>
            </w:tcMar>
          </w:tcPr>
          <w:p w14:paraId="6D4B8DAB" w14:textId="77777777" w:rsidR="004B7931" w:rsidRDefault="00000000">
            <w:r>
              <w:rPr>
                <w:sz w:val="19"/>
                <w:szCs w:val="19"/>
              </w:rPr>
              <w:t>Evidence of humanitarian cash programming experience in Sudan; references from INGOs or UN agencies; demonstrated crisis resilience.</w:t>
            </w:r>
          </w:p>
        </w:tc>
      </w:tr>
      <w:tr w:rsidR="004B7931" w14:paraId="7DEE0B08" w14:textId="77777777" w:rsidTr="007F3EB6">
        <w:tc>
          <w:tcPr>
            <w:tcW w:w="2600" w:type="dxa"/>
            <w:tcBorders>
              <w:top w:val="single" w:sz="4" w:space="0" w:color="D9D9D9"/>
              <w:left w:val="single" w:sz="4" w:space="0" w:color="D9D9D9"/>
              <w:bottom w:val="single" w:sz="4" w:space="0" w:color="D9D9D9"/>
              <w:right w:val="single" w:sz="4" w:space="0" w:color="D9D9D9"/>
            </w:tcBorders>
            <w:shd w:val="clear" w:color="auto" w:fill="007B62"/>
            <w:tcMar>
              <w:top w:w="80" w:type="dxa"/>
              <w:left w:w="120" w:type="dxa"/>
              <w:bottom w:w="80" w:type="dxa"/>
              <w:right w:w="120" w:type="dxa"/>
            </w:tcMar>
          </w:tcPr>
          <w:p w14:paraId="7B1E9B6C" w14:textId="77777777" w:rsidR="004B7931" w:rsidRDefault="00000000">
            <w:r>
              <w:rPr>
                <w:b/>
                <w:bCs/>
                <w:color w:val="FFFFFF"/>
              </w:rPr>
              <w:t>TOTAL</w:t>
            </w:r>
          </w:p>
        </w:tc>
        <w:tc>
          <w:tcPr>
            <w:tcW w:w="1200" w:type="dxa"/>
            <w:tcBorders>
              <w:top w:val="single" w:sz="4" w:space="0" w:color="D9D9D9"/>
              <w:left w:val="single" w:sz="4" w:space="0" w:color="D9D9D9"/>
              <w:bottom w:val="single" w:sz="4" w:space="0" w:color="D9D9D9"/>
              <w:right w:val="single" w:sz="4" w:space="0" w:color="D9D9D9"/>
            </w:tcBorders>
            <w:shd w:val="clear" w:color="auto" w:fill="007B62"/>
            <w:tcMar>
              <w:top w:w="80" w:type="dxa"/>
              <w:left w:w="120" w:type="dxa"/>
              <w:bottom w:w="80" w:type="dxa"/>
              <w:right w:w="120" w:type="dxa"/>
            </w:tcMar>
          </w:tcPr>
          <w:p w14:paraId="603D66FC" w14:textId="77777777" w:rsidR="004B7931" w:rsidRDefault="00000000">
            <w:pPr>
              <w:jc w:val="center"/>
            </w:pPr>
            <w:r>
              <w:rPr>
                <w:b/>
                <w:bCs/>
                <w:color w:val="FFFFFF"/>
              </w:rPr>
              <w:t>100%</w:t>
            </w:r>
          </w:p>
        </w:tc>
        <w:tc>
          <w:tcPr>
            <w:tcW w:w="5560" w:type="dxa"/>
            <w:tcBorders>
              <w:top w:val="single" w:sz="4" w:space="0" w:color="D9D9D9"/>
              <w:left w:val="single" w:sz="4" w:space="0" w:color="D9D9D9"/>
              <w:bottom w:val="single" w:sz="4" w:space="0" w:color="D9D9D9"/>
              <w:right w:val="single" w:sz="4" w:space="0" w:color="D9D9D9"/>
            </w:tcBorders>
            <w:shd w:val="clear" w:color="auto" w:fill="007B62"/>
            <w:tcMar>
              <w:top w:w="80" w:type="dxa"/>
              <w:left w:w="120" w:type="dxa"/>
              <w:bottom w:w="80" w:type="dxa"/>
              <w:right w:w="120" w:type="dxa"/>
            </w:tcMar>
          </w:tcPr>
          <w:p w14:paraId="2EA4A8D7" w14:textId="77777777" w:rsidR="004B7931" w:rsidRDefault="00000000">
            <w:r>
              <w:rPr>
                <w:color w:val="FFFFFF"/>
                <w:sz w:val="19"/>
                <w:szCs w:val="19"/>
              </w:rPr>
              <w:t>Scored out of 100 points.</w:t>
            </w:r>
          </w:p>
        </w:tc>
      </w:tr>
    </w:tbl>
    <w:p w14:paraId="302A2453" w14:textId="77777777" w:rsidR="004B7931" w:rsidRDefault="004B7931">
      <w:pPr>
        <w:spacing w:before="100" w:after="60"/>
      </w:pPr>
    </w:p>
    <w:p w14:paraId="7A3F54D8" w14:textId="77777777" w:rsidR="004B7931" w:rsidRDefault="00000000">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7B62"/>
        <w:tblCellMar>
          <w:left w:w="10" w:type="dxa"/>
          <w:right w:w="10" w:type="dxa"/>
        </w:tblCellMar>
        <w:tblLook w:val="04A0" w:firstRow="1" w:lastRow="0" w:firstColumn="1" w:lastColumn="0" w:noHBand="0" w:noVBand="1"/>
      </w:tblPr>
      <w:tblGrid>
        <w:gridCol w:w="9360"/>
      </w:tblGrid>
      <w:tr w:rsidR="004B7931" w14:paraId="1E21FFF1" w14:textId="77777777" w:rsidTr="007F3EB6">
        <w:tc>
          <w:tcPr>
            <w:tcW w:w="9360" w:type="dxa"/>
            <w:tcBorders>
              <w:top w:val="none" w:sz="0" w:space="0" w:color="FFFFFF"/>
              <w:left w:val="none" w:sz="0" w:space="0" w:color="FFFFFF"/>
              <w:bottom w:val="none" w:sz="0" w:space="0" w:color="FFFFFF"/>
              <w:right w:val="none" w:sz="0" w:space="0" w:color="FFFFFF"/>
            </w:tcBorders>
            <w:shd w:val="clear" w:color="auto" w:fill="007B62"/>
            <w:tcMar>
              <w:top w:w="140" w:type="dxa"/>
              <w:left w:w="220" w:type="dxa"/>
              <w:bottom w:w="140" w:type="dxa"/>
              <w:right w:w="220" w:type="dxa"/>
            </w:tcMar>
          </w:tcPr>
          <w:p w14:paraId="6AA6DABA" w14:textId="77777777" w:rsidR="004B7931" w:rsidRDefault="00000000">
            <w:r>
              <w:rPr>
                <w:b/>
                <w:bCs/>
                <w:color w:val="FFFFFF"/>
                <w:sz w:val="26"/>
                <w:szCs w:val="26"/>
              </w:rPr>
              <w:lastRenderedPageBreak/>
              <w:t>SECTION 9: GENERAL TERMS AND CONDITIONS</w:t>
            </w:r>
          </w:p>
        </w:tc>
      </w:tr>
    </w:tbl>
    <w:p w14:paraId="19648962" w14:textId="77777777" w:rsidR="004B7931" w:rsidRDefault="004B7931">
      <w:pPr>
        <w:spacing w:before="80" w:after="60"/>
      </w:pPr>
    </w:p>
    <w:p w14:paraId="40F73D5B" w14:textId="77777777" w:rsidR="004B7931" w:rsidRDefault="00000000">
      <w:pPr>
        <w:spacing w:before="40" w:after="40"/>
        <w:ind w:left="720" w:hanging="360"/>
      </w:pPr>
      <w:r>
        <w:rPr>
          <w:sz w:val="19"/>
          <w:szCs w:val="19"/>
        </w:rPr>
        <w:t xml:space="preserve">•  This EOI does not constitute a solicitation for offers or a commitment to </w:t>
      </w:r>
      <w:proofErr w:type="gramStart"/>
      <w:r>
        <w:rPr>
          <w:sz w:val="19"/>
          <w:szCs w:val="19"/>
        </w:rPr>
        <w:t>enter into</w:t>
      </w:r>
      <w:proofErr w:type="gramEnd"/>
      <w:r>
        <w:rPr>
          <w:sz w:val="19"/>
          <w:szCs w:val="19"/>
        </w:rPr>
        <w:t xml:space="preserve"> any contract. ADRA Sudan is not bound to accept any submission received.</w:t>
      </w:r>
    </w:p>
    <w:p w14:paraId="67F9B435" w14:textId="77777777" w:rsidR="004B7931" w:rsidRDefault="00000000">
      <w:pPr>
        <w:spacing w:before="40" w:after="40"/>
        <w:ind w:left="720" w:hanging="360"/>
      </w:pPr>
      <w:r>
        <w:rPr>
          <w:sz w:val="19"/>
          <w:szCs w:val="19"/>
        </w:rPr>
        <w:t>•  ADRA Sudan reserves the right to cancel or modify this EOI at any time without incurring any obligation or liability.</w:t>
      </w:r>
    </w:p>
    <w:p w14:paraId="71834186" w14:textId="77777777" w:rsidR="004B7931" w:rsidRDefault="00000000">
      <w:pPr>
        <w:spacing w:before="40" w:after="40"/>
        <w:ind w:left="720" w:hanging="360"/>
      </w:pPr>
      <w:r>
        <w:rPr>
          <w:sz w:val="19"/>
          <w:szCs w:val="19"/>
        </w:rPr>
        <w:t>•  All information submitted in response to this EOI will be treated as confidential and used solely for the purpose of pre-qualification.</w:t>
      </w:r>
    </w:p>
    <w:p w14:paraId="53759D93" w14:textId="77777777" w:rsidR="004B7931" w:rsidRDefault="00000000">
      <w:pPr>
        <w:spacing w:before="40" w:after="40"/>
        <w:ind w:left="720" w:hanging="360"/>
      </w:pPr>
      <w:r>
        <w:rPr>
          <w:sz w:val="19"/>
          <w:szCs w:val="19"/>
        </w:rPr>
        <w:t>•  FSPs found to have provided false or misleading information will be disqualified and may be reported to relevant regulatory authorities.</w:t>
      </w:r>
    </w:p>
    <w:p w14:paraId="622AFFD2" w14:textId="77777777" w:rsidR="004B7931" w:rsidRDefault="00000000">
      <w:pPr>
        <w:spacing w:before="40" w:after="40"/>
        <w:ind w:left="720" w:hanging="360"/>
      </w:pPr>
      <w:r>
        <w:rPr>
          <w:sz w:val="19"/>
          <w:szCs w:val="19"/>
        </w:rPr>
        <w:t>•  ADRA Sudan is committed to ethical procurement. Any attempt to influence the evaluation process through gifts, hospitality, or improper means will result in immediate disqualification.</w:t>
      </w:r>
    </w:p>
    <w:p w14:paraId="26A4F8F4" w14:textId="77777777" w:rsidR="004B7931" w:rsidRDefault="00000000">
      <w:pPr>
        <w:spacing w:before="40" w:after="40"/>
        <w:ind w:left="720" w:hanging="360"/>
      </w:pPr>
      <w:r>
        <w:rPr>
          <w:sz w:val="19"/>
          <w:szCs w:val="19"/>
        </w:rPr>
        <w:t>•  ADRA Sudan requires all contracted FSPs to adhere to its Code of Conduct, PSEA Policy, Child Protection Policy, and Anti-Fraud and Corruption Policy.</w:t>
      </w:r>
    </w:p>
    <w:p w14:paraId="21EF5E11" w14:textId="77777777" w:rsidR="004B7931" w:rsidRDefault="00000000">
      <w:pPr>
        <w:spacing w:before="40" w:after="40"/>
        <w:ind w:left="720" w:hanging="360"/>
      </w:pPr>
      <w:r>
        <w:rPr>
          <w:sz w:val="19"/>
          <w:szCs w:val="19"/>
        </w:rPr>
        <w:t>•  FSPs must disclose any actual or potential conflicts of interest at the time of submission.</w:t>
      </w:r>
    </w:p>
    <w:p w14:paraId="76F87934" w14:textId="77777777" w:rsidR="004B7931" w:rsidRDefault="004B7931">
      <w:pPr>
        <w:spacing w:before="1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7B62"/>
        <w:tblCellMar>
          <w:left w:w="10" w:type="dxa"/>
          <w:right w:w="10" w:type="dxa"/>
        </w:tblCellMar>
        <w:tblLook w:val="04A0" w:firstRow="1" w:lastRow="0" w:firstColumn="1" w:lastColumn="0" w:noHBand="0" w:noVBand="1"/>
      </w:tblPr>
      <w:tblGrid>
        <w:gridCol w:w="9360"/>
      </w:tblGrid>
      <w:tr w:rsidR="004B7931" w14:paraId="2A4B9D89" w14:textId="77777777" w:rsidTr="007F3EB6">
        <w:tc>
          <w:tcPr>
            <w:tcW w:w="9360" w:type="dxa"/>
            <w:tcBorders>
              <w:top w:val="none" w:sz="0" w:space="0" w:color="FFFFFF"/>
              <w:left w:val="none" w:sz="0" w:space="0" w:color="FFFFFF"/>
              <w:bottom w:val="none" w:sz="0" w:space="0" w:color="FFFFFF"/>
              <w:right w:val="none" w:sz="0" w:space="0" w:color="FFFFFF"/>
            </w:tcBorders>
            <w:shd w:val="clear" w:color="auto" w:fill="007B62"/>
            <w:tcMar>
              <w:top w:w="140" w:type="dxa"/>
              <w:left w:w="220" w:type="dxa"/>
              <w:bottom w:w="140" w:type="dxa"/>
              <w:right w:w="220" w:type="dxa"/>
            </w:tcMar>
          </w:tcPr>
          <w:p w14:paraId="354EC796" w14:textId="77777777" w:rsidR="004B7931" w:rsidRDefault="00000000">
            <w:r>
              <w:rPr>
                <w:b/>
                <w:bCs/>
                <w:color w:val="FFFFFF"/>
                <w:sz w:val="26"/>
                <w:szCs w:val="26"/>
              </w:rPr>
              <w:t>ANNEX A: FSP EXPRESSION OF INTEREST RESPONSE FORM</w:t>
            </w:r>
          </w:p>
        </w:tc>
      </w:tr>
    </w:tbl>
    <w:p w14:paraId="31E754A8" w14:textId="77777777" w:rsidR="004B7931" w:rsidRDefault="004B7931">
      <w:pPr>
        <w:spacing w:before="8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B7931" w14:paraId="3E093B65" w14:textId="77777777">
        <w:tc>
          <w:tcPr>
            <w:tcW w:w="9360" w:type="dxa"/>
            <w:tcBorders>
              <w:top w:val="single" w:sz="6" w:space="0" w:color="1F4E79"/>
              <w:left w:val="single" w:sz="6" w:space="0" w:color="1F4E79"/>
              <w:bottom w:val="single" w:sz="6" w:space="0" w:color="1F4E79"/>
              <w:right w:val="single" w:sz="6" w:space="0" w:color="1F4E79"/>
            </w:tcBorders>
            <w:shd w:val="clear" w:color="auto" w:fill="EAF2FA"/>
            <w:tcMar>
              <w:top w:w="120" w:type="dxa"/>
              <w:left w:w="200" w:type="dxa"/>
              <w:bottom w:w="120" w:type="dxa"/>
              <w:right w:w="200" w:type="dxa"/>
            </w:tcMar>
          </w:tcPr>
          <w:p w14:paraId="12A77A3D" w14:textId="77777777" w:rsidR="004B7931" w:rsidRDefault="00000000">
            <w:r>
              <w:rPr>
                <w:sz w:val="19"/>
                <w:szCs w:val="19"/>
              </w:rPr>
              <w:t>Instructions: Complete all sections in full. Incomplete submissions will not be evaluated. Submit in PDF format unless a specific template requires Excel.</w:t>
            </w:r>
          </w:p>
        </w:tc>
      </w:tr>
    </w:tbl>
    <w:p w14:paraId="0338653E" w14:textId="77777777" w:rsidR="004B7931" w:rsidRDefault="004B7931">
      <w:pPr>
        <w:spacing w:before="8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B7931" w14:paraId="37E1A3D8" w14:textId="77777777" w:rsidTr="007F3EB6">
        <w:tc>
          <w:tcPr>
            <w:tcW w:w="9360" w:type="dxa"/>
            <w:tcBorders>
              <w:top w:val="none" w:sz="0" w:space="0" w:color="FFFFFF"/>
              <w:left w:val="none" w:sz="0" w:space="0" w:color="FFFFFF"/>
              <w:bottom w:val="none" w:sz="0" w:space="0" w:color="FFFFFF"/>
              <w:right w:val="none" w:sz="0" w:space="0" w:color="FFFFFF"/>
            </w:tcBorders>
            <w:shd w:val="clear" w:color="auto" w:fill="007B62"/>
            <w:tcMar>
              <w:top w:w="100" w:type="dxa"/>
              <w:left w:w="200" w:type="dxa"/>
              <w:bottom w:w="100" w:type="dxa"/>
              <w:right w:w="200" w:type="dxa"/>
            </w:tcMar>
          </w:tcPr>
          <w:p w14:paraId="25909CF2" w14:textId="77777777" w:rsidR="004B7931" w:rsidRDefault="00000000">
            <w:r>
              <w:rPr>
                <w:b/>
                <w:bCs/>
                <w:color w:val="FFFFFF"/>
                <w:sz w:val="22"/>
                <w:szCs w:val="22"/>
              </w:rPr>
              <w:t>Part 1: Organisational Profile</w:t>
            </w:r>
          </w:p>
        </w:tc>
      </w:tr>
    </w:tbl>
    <w:p w14:paraId="66575B3A" w14:textId="77777777" w:rsidR="004B7931" w:rsidRDefault="004B7931">
      <w:pPr>
        <w:spacing w:before="6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6160"/>
      </w:tblGrid>
      <w:tr w:rsidR="004B7931" w14:paraId="231129CE" w14:textId="77777777">
        <w:tc>
          <w:tcPr>
            <w:tcW w:w="3200" w:type="dxa"/>
            <w:tcBorders>
              <w:top w:val="single" w:sz="4" w:space="0" w:color="D9D9D9"/>
              <w:left w:val="single" w:sz="4" w:space="0" w:color="D9D9D9"/>
              <w:bottom w:val="single" w:sz="4" w:space="0" w:color="D9D9D9"/>
              <w:right w:val="single" w:sz="4" w:space="0" w:color="D9D9D9"/>
            </w:tcBorders>
            <w:shd w:val="clear" w:color="auto" w:fill="F5F5F5"/>
            <w:tcMar>
              <w:top w:w="80" w:type="dxa"/>
              <w:left w:w="120" w:type="dxa"/>
              <w:bottom w:w="80" w:type="dxa"/>
              <w:right w:w="120" w:type="dxa"/>
            </w:tcMar>
          </w:tcPr>
          <w:p w14:paraId="40539E08" w14:textId="77777777" w:rsidR="004B7931" w:rsidRDefault="00000000">
            <w:r>
              <w:rPr>
                <w:b/>
                <w:bCs/>
                <w:sz w:val="19"/>
                <w:szCs w:val="19"/>
              </w:rPr>
              <w:t>Legal Name of FSP:</w:t>
            </w:r>
          </w:p>
        </w:tc>
        <w:tc>
          <w:tcPr>
            <w:tcW w:w="6160"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tcPr>
          <w:p w14:paraId="62E26A34" w14:textId="77777777" w:rsidR="004B7931" w:rsidRDefault="004B7931"/>
        </w:tc>
      </w:tr>
      <w:tr w:rsidR="004B7931" w14:paraId="231EED91" w14:textId="77777777">
        <w:tc>
          <w:tcPr>
            <w:tcW w:w="3200" w:type="dxa"/>
            <w:tcBorders>
              <w:top w:val="single" w:sz="4" w:space="0" w:color="D9D9D9"/>
              <w:left w:val="single" w:sz="4" w:space="0" w:color="D9D9D9"/>
              <w:bottom w:val="single" w:sz="4" w:space="0" w:color="D9D9D9"/>
              <w:right w:val="single" w:sz="4" w:space="0" w:color="D9D9D9"/>
            </w:tcBorders>
            <w:shd w:val="clear" w:color="auto" w:fill="F5F5F5"/>
            <w:tcMar>
              <w:top w:w="80" w:type="dxa"/>
              <w:left w:w="120" w:type="dxa"/>
              <w:bottom w:w="80" w:type="dxa"/>
              <w:right w:w="120" w:type="dxa"/>
            </w:tcMar>
          </w:tcPr>
          <w:p w14:paraId="647D804D" w14:textId="77777777" w:rsidR="004B7931" w:rsidRDefault="00000000">
            <w:r>
              <w:rPr>
                <w:b/>
                <w:bCs/>
                <w:sz w:val="19"/>
                <w:szCs w:val="19"/>
              </w:rPr>
              <w:t>Trading Name (if different):</w:t>
            </w:r>
          </w:p>
        </w:tc>
        <w:tc>
          <w:tcPr>
            <w:tcW w:w="6160"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tcPr>
          <w:p w14:paraId="3DAFFA37" w14:textId="77777777" w:rsidR="004B7931" w:rsidRDefault="004B7931"/>
        </w:tc>
      </w:tr>
      <w:tr w:rsidR="004B7931" w14:paraId="617186EA" w14:textId="77777777">
        <w:tc>
          <w:tcPr>
            <w:tcW w:w="3200" w:type="dxa"/>
            <w:tcBorders>
              <w:top w:val="single" w:sz="4" w:space="0" w:color="D9D9D9"/>
              <w:left w:val="single" w:sz="4" w:space="0" w:color="D9D9D9"/>
              <w:bottom w:val="single" w:sz="4" w:space="0" w:color="D9D9D9"/>
              <w:right w:val="single" w:sz="4" w:space="0" w:color="D9D9D9"/>
            </w:tcBorders>
            <w:shd w:val="clear" w:color="auto" w:fill="F5F5F5"/>
            <w:tcMar>
              <w:top w:w="80" w:type="dxa"/>
              <w:left w:w="120" w:type="dxa"/>
              <w:bottom w:w="80" w:type="dxa"/>
              <w:right w:w="120" w:type="dxa"/>
            </w:tcMar>
          </w:tcPr>
          <w:p w14:paraId="748CA87E" w14:textId="77777777" w:rsidR="004B7931" w:rsidRDefault="00000000">
            <w:r>
              <w:rPr>
                <w:b/>
                <w:bCs/>
                <w:sz w:val="19"/>
                <w:szCs w:val="19"/>
              </w:rPr>
              <w:t>Head Office Address:</w:t>
            </w:r>
          </w:p>
        </w:tc>
        <w:tc>
          <w:tcPr>
            <w:tcW w:w="6160"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tcPr>
          <w:p w14:paraId="5328DB4A" w14:textId="77777777" w:rsidR="004B7931" w:rsidRDefault="004B7931"/>
        </w:tc>
      </w:tr>
      <w:tr w:rsidR="004B7931" w14:paraId="174655AF" w14:textId="77777777">
        <w:tc>
          <w:tcPr>
            <w:tcW w:w="3200" w:type="dxa"/>
            <w:tcBorders>
              <w:top w:val="single" w:sz="4" w:space="0" w:color="D9D9D9"/>
              <w:left w:val="single" w:sz="4" w:space="0" w:color="D9D9D9"/>
              <w:bottom w:val="single" w:sz="4" w:space="0" w:color="D9D9D9"/>
              <w:right w:val="single" w:sz="4" w:space="0" w:color="D9D9D9"/>
            </w:tcBorders>
            <w:shd w:val="clear" w:color="auto" w:fill="F5F5F5"/>
            <w:tcMar>
              <w:top w:w="80" w:type="dxa"/>
              <w:left w:w="120" w:type="dxa"/>
              <w:bottom w:w="80" w:type="dxa"/>
              <w:right w:w="120" w:type="dxa"/>
            </w:tcMar>
          </w:tcPr>
          <w:p w14:paraId="5B51A176" w14:textId="77777777" w:rsidR="004B7931" w:rsidRDefault="00000000">
            <w:r>
              <w:rPr>
                <w:b/>
                <w:bCs/>
                <w:sz w:val="19"/>
                <w:szCs w:val="19"/>
              </w:rPr>
              <w:t>Country of Incorporation:</w:t>
            </w:r>
          </w:p>
        </w:tc>
        <w:tc>
          <w:tcPr>
            <w:tcW w:w="6160"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tcPr>
          <w:p w14:paraId="65AC1FA1" w14:textId="77777777" w:rsidR="004B7931" w:rsidRDefault="004B7931"/>
        </w:tc>
      </w:tr>
      <w:tr w:rsidR="004B7931" w14:paraId="5693E024" w14:textId="77777777">
        <w:tc>
          <w:tcPr>
            <w:tcW w:w="3200" w:type="dxa"/>
            <w:tcBorders>
              <w:top w:val="single" w:sz="4" w:space="0" w:color="D9D9D9"/>
              <w:left w:val="single" w:sz="4" w:space="0" w:color="D9D9D9"/>
              <w:bottom w:val="single" w:sz="4" w:space="0" w:color="D9D9D9"/>
              <w:right w:val="single" w:sz="4" w:space="0" w:color="D9D9D9"/>
            </w:tcBorders>
            <w:shd w:val="clear" w:color="auto" w:fill="F5F5F5"/>
            <w:tcMar>
              <w:top w:w="80" w:type="dxa"/>
              <w:left w:w="120" w:type="dxa"/>
              <w:bottom w:w="80" w:type="dxa"/>
              <w:right w:w="120" w:type="dxa"/>
            </w:tcMar>
          </w:tcPr>
          <w:p w14:paraId="0051C729" w14:textId="77777777" w:rsidR="004B7931" w:rsidRDefault="00000000">
            <w:r>
              <w:rPr>
                <w:b/>
                <w:bCs/>
                <w:sz w:val="19"/>
                <w:szCs w:val="19"/>
              </w:rPr>
              <w:t>Year Established:</w:t>
            </w:r>
          </w:p>
        </w:tc>
        <w:tc>
          <w:tcPr>
            <w:tcW w:w="6160"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tcPr>
          <w:p w14:paraId="5C52264B" w14:textId="77777777" w:rsidR="004B7931" w:rsidRDefault="004B7931"/>
        </w:tc>
      </w:tr>
      <w:tr w:rsidR="004B7931" w14:paraId="464EA2A8" w14:textId="77777777">
        <w:tc>
          <w:tcPr>
            <w:tcW w:w="3200" w:type="dxa"/>
            <w:tcBorders>
              <w:top w:val="single" w:sz="4" w:space="0" w:color="D9D9D9"/>
              <w:left w:val="single" w:sz="4" w:space="0" w:color="D9D9D9"/>
              <w:bottom w:val="single" w:sz="4" w:space="0" w:color="D9D9D9"/>
              <w:right w:val="single" w:sz="4" w:space="0" w:color="D9D9D9"/>
            </w:tcBorders>
            <w:shd w:val="clear" w:color="auto" w:fill="F5F5F5"/>
            <w:tcMar>
              <w:top w:w="80" w:type="dxa"/>
              <w:left w:w="120" w:type="dxa"/>
              <w:bottom w:w="80" w:type="dxa"/>
              <w:right w:w="120" w:type="dxa"/>
            </w:tcMar>
          </w:tcPr>
          <w:p w14:paraId="020AA597" w14:textId="77777777" w:rsidR="004B7931" w:rsidRDefault="00000000">
            <w:r>
              <w:rPr>
                <w:b/>
                <w:bCs/>
                <w:sz w:val="19"/>
                <w:szCs w:val="19"/>
              </w:rPr>
              <w:t>Legal Status:</w:t>
            </w:r>
          </w:p>
        </w:tc>
        <w:tc>
          <w:tcPr>
            <w:tcW w:w="6160"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tcPr>
          <w:p w14:paraId="6D7F4388" w14:textId="77777777" w:rsidR="004B7931" w:rsidRDefault="00000000">
            <w:r>
              <w:rPr>
                <w:i/>
                <w:iCs/>
                <w:color w:val="AAAAAA"/>
                <w:sz w:val="19"/>
                <w:szCs w:val="19"/>
              </w:rPr>
              <w:t>e.g. Bank, MFI, Mobile Money Operator, Hawala, Other</w:t>
            </w:r>
          </w:p>
        </w:tc>
      </w:tr>
      <w:tr w:rsidR="004B7931" w14:paraId="38577DC8" w14:textId="77777777">
        <w:tc>
          <w:tcPr>
            <w:tcW w:w="3200" w:type="dxa"/>
            <w:tcBorders>
              <w:top w:val="single" w:sz="4" w:space="0" w:color="D9D9D9"/>
              <w:left w:val="single" w:sz="4" w:space="0" w:color="D9D9D9"/>
              <w:bottom w:val="single" w:sz="4" w:space="0" w:color="D9D9D9"/>
              <w:right w:val="single" w:sz="4" w:space="0" w:color="D9D9D9"/>
            </w:tcBorders>
            <w:shd w:val="clear" w:color="auto" w:fill="F5F5F5"/>
            <w:tcMar>
              <w:top w:w="80" w:type="dxa"/>
              <w:left w:w="120" w:type="dxa"/>
              <w:bottom w:w="80" w:type="dxa"/>
              <w:right w:w="120" w:type="dxa"/>
            </w:tcMar>
          </w:tcPr>
          <w:p w14:paraId="51C2E72A" w14:textId="77777777" w:rsidR="004B7931" w:rsidRDefault="00000000">
            <w:proofErr w:type="spellStart"/>
            <w:r>
              <w:rPr>
                <w:b/>
                <w:bCs/>
                <w:sz w:val="19"/>
                <w:szCs w:val="19"/>
              </w:rPr>
              <w:t>CBoS</w:t>
            </w:r>
            <w:proofErr w:type="spellEnd"/>
            <w:r>
              <w:rPr>
                <w:b/>
                <w:bCs/>
                <w:sz w:val="19"/>
                <w:szCs w:val="19"/>
              </w:rPr>
              <w:t xml:space="preserve"> License Number:</w:t>
            </w:r>
          </w:p>
        </w:tc>
        <w:tc>
          <w:tcPr>
            <w:tcW w:w="6160"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tcPr>
          <w:p w14:paraId="3D2B11D2" w14:textId="77777777" w:rsidR="004B7931" w:rsidRDefault="004B7931"/>
        </w:tc>
      </w:tr>
      <w:tr w:rsidR="004B7931" w14:paraId="6409DB98" w14:textId="77777777">
        <w:tc>
          <w:tcPr>
            <w:tcW w:w="3200" w:type="dxa"/>
            <w:tcBorders>
              <w:top w:val="single" w:sz="4" w:space="0" w:color="D9D9D9"/>
              <w:left w:val="single" w:sz="4" w:space="0" w:color="D9D9D9"/>
              <w:bottom w:val="single" w:sz="4" w:space="0" w:color="D9D9D9"/>
              <w:right w:val="single" w:sz="4" w:space="0" w:color="D9D9D9"/>
            </w:tcBorders>
            <w:shd w:val="clear" w:color="auto" w:fill="F5F5F5"/>
            <w:tcMar>
              <w:top w:w="80" w:type="dxa"/>
              <w:left w:w="120" w:type="dxa"/>
              <w:bottom w:w="80" w:type="dxa"/>
              <w:right w:w="120" w:type="dxa"/>
            </w:tcMar>
          </w:tcPr>
          <w:p w14:paraId="0F8128FE" w14:textId="77777777" w:rsidR="004B7931" w:rsidRDefault="00000000">
            <w:proofErr w:type="spellStart"/>
            <w:r>
              <w:rPr>
                <w:b/>
                <w:bCs/>
                <w:sz w:val="19"/>
                <w:szCs w:val="19"/>
              </w:rPr>
              <w:t>CBoS</w:t>
            </w:r>
            <w:proofErr w:type="spellEnd"/>
            <w:r>
              <w:rPr>
                <w:b/>
                <w:bCs/>
                <w:sz w:val="19"/>
                <w:szCs w:val="19"/>
              </w:rPr>
              <w:t xml:space="preserve"> License Expiry Date:</w:t>
            </w:r>
          </w:p>
        </w:tc>
        <w:tc>
          <w:tcPr>
            <w:tcW w:w="6160"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tcPr>
          <w:p w14:paraId="690E48C0" w14:textId="77777777" w:rsidR="004B7931" w:rsidRDefault="004B7931"/>
        </w:tc>
      </w:tr>
      <w:tr w:rsidR="004B7931" w14:paraId="7458BFAF" w14:textId="77777777">
        <w:tc>
          <w:tcPr>
            <w:tcW w:w="3200" w:type="dxa"/>
            <w:tcBorders>
              <w:top w:val="single" w:sz="4" w:space="0" w:color="D9D9D9"/>
              <w:left w:val="single" w:sz="4" w:space="0" w:color="D9D9D9"/>
              <w:bottom w:val="single" w:sz="4" w:space="0" w:color="D9D9D9"/>
              <w:right w:val="single" w:sz="4" w:space="0" w:color="D9D9D9"/>
            </w:tcBorders>
            <w:shd w:val="clear" w:color="auto" w:fill="F5F5F5"/>
            <w:tcMar>
              <w:top w:w="80" w:type="dxa"/>
              <w:left w:w="120" w:type="dxa"/>
              <w:bottom w:w="80" w:type="dxa"/>
              <w:right w:w="120" w:type="dxa"/>
            </w:tcMar>
          </w:tcPr>
          <w:p w14:paraId="693A3AFF" w14:textId="77777777" w:rsidR="004B7931" w:rsidRDefault="00000000">
            <w:r>
              <w:rPr>
                <w:b/>
                <w:bCs/>
                <w:sz w:val="19"/>
                <w:szCs w:val="19"/>
              </w:rPr>
              <w:t>TIN Number:</w:t>
            </w:r>
          </w:p>
        </w:tc>
        <w:tc>
          <w:tcPr>
            <w:tcW w:w="6160"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tcPr>
          <w:p w14:paraId="79F62E3C" w14:textId="77777777" w:rsidR="004B7931" w:rsidRDefault="004B7931"/>
        </w:tc>
      </w:tr>
      <w:tr w:rsidR="004B7931" w14:paraId="3552E8FE" w14:textId="77777777">
        <w:tc>
          <w:tcPr>
            <w:tcW w:w="3200" w:type="dxa"/>
            <w:tcBorders>
              <w:top w:val="single" w:sz="4" w:space="0" w:color="D9D9D9"/>
              <w:left w:val="single" w:sz="4" w:space="0" w:color="D9D9D9"/>
              <w:bottom w:val="single" w:sz="4" w:space="0" w:color="D9D9D9"/>
              <w:right w:val="single" w:sz="4" w:space="0" w:color="D9D9D9"/>
            </w:tcBorders>
            <w:shd w:val="clear" w:color="auto" w:fill="F5F5F5"/>
            <w:tcMar>
              <w:top w:w="80" w:type="dxa"/>
              <w:left w:w="120" w:type="dxa"/>
              <w:bottom w:w="80" w:type="dxa"/>
              <w:right w:w="120" w:type="dxa"/>
            </w:tcMar>
          </w:tcPr>
          <w:p w14:paraId="0BBEA193" w14:textId="77777777" w:rsidR="004B7931" w:rsidRDefault="00000000">
            <w:r>
              <w:rPr>
                <w:b/>
                <w:bCs/>
                <w:sz w:val="19"/>
                <w:szCs w:val="19"/>
              </w:rPr>
              <w:t>Website:</w:t>
            </w:r>
          </w:p>
        </w:tc>
        <w:tc>
          <w:tcPr>
            <w:tcW w:w="6160"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tcPr>
          <w:p w14:paraId="2B4947C4" w14:textId="77777777" w:rsidR="004B7931" w:rsidRDefault="004B7931"/>
        </w:tc>
      </w:tr>
      <w:tr w:rsidR="004B7931" w14:paraId="6E68CE9D" w14:textId="77777777">
        <w:tc>
          <w:tcPr>
            <w:tcW w:w="3200" w:type="dxa"/>
            <w:tcBorders>
              <w:top w:val="single" w:sz="4" w:space="0" w:color="D9D9D9"/>
              <w:left w:val="single" w:sz="4" w:space="0" w:color="D9D9D9"/>
              <w:bottom w:val="single" w:sz="4" w:space="0" w:color="D9D9D9"/>
              <w:right w:val="single" w:sz="4" w:space="0" w:color="D9D9D9"/>
            </w:tcBorders>
            <w:shd w:val="clear" w:color="auto" w:fill="F5F5F5"/>
            <w:tcMar>
              <w:top w:w="80" w:type="dxa"/>
              <w:left w:w="120" w:type="dxa"/>
              <w:bottom w:w="80" w:type="dxa"/>
              <w:right w:w="120" w:type="dxa"/>
            </w:tcMar>
          </w:tcPr>
          <w:p w14:paraId="48C13A5B" w14:textId="77777777" w:rsidR="004B7931" w:rsidRDefault="00000000">
            <w:r>
              <w:rPr>
                <w:b/>
                <w:bCs/>
                <w:sz w:val="19"/>
                <w:szCs w:val="19"/>
              </w:rPr>
              <w:t>Primary Contact Name:</w:t>
            </w:r>
          </w:p>
        </w:tc>
        <w:tc>
          <w:tcPr>
            <w:tcW w:w="6160"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tcPr>
          <w:p w14:paraId="37E885FB" w14:textId="77777777" w:rsidR="004B7931" w:rsidRDefault="004B7931"/>
        </w:tc>
      </w:tr>
      <w:tr w:rsidR="004B7931" w14:paraId="21AB6590" w14:textId="77777777">
        <w:tc>
          <w:tcPr>
            <w:tcW w:w="3200" w:type="dxa"/>
            <w:tcBorders>
              <w:top w:val="single" w:sz="4" w:space="0" w:color="D9D9D9"/>
              <w:left w:val="single" w:sz="4" w:space="0" w:color="D9D9D9"/>
              <w:bottom w:val="single" w:sz="4" w:space="0" w:color="D9D9D9"/>
              <w:right w:val="single" w:sz="4" w:space="0" w:color="D9D9D9"/>
            </w:tcBorders>
            <w:shd w:val="clear" w:color="auto" w:fill="F5F5F5"/>
            <w:tcMar>
              <w:top w:w="80" w:type="dxa"/>
              <w:left w:w="120" w:type="dxa"/>
              <w:bottom w:w="80" w:type="dxa"/>
              <w:right w:w="120" w:type="dxa"/>
            </w:tcMar>
          </w:tcPr>
          <w:p w14:paraId="45CB5479" w14:textId="77777777" w:rsidR="004B7931" w:rsidRDefault="00000000">
            <w:r>
              <w:rPr>
                <w:b/>
                <w:bCs/>
                <w:sz w:val="19"/>
                <w:szCs w:val="19"/>
              </w:rPr>
              <w:t>Primary Contact Title:</w:t>
            </w:r>
          </w:p>
        </w:tc>
        <w:tc>
          <w:tcPr>
            <w:tcW w:w="6160"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tcPr>
          <w:p w14:paraId="24746DF7" w14:textId="77777777" w:rsidR="004B7931" w:rsidRDefault="004B7931"/>
        </w:tc>
      </w:tr>
      <w:tr w:rsidR="004B7931" w14:paraId="18D37E6D" w14:textId="77777777">
        <w:tc>
          <w:tcPr>
            <w:tcW w:w="3200" w:type="dxa"/>
            <w:tcBorders>
              <w:top w:val="single" w:sz="4" w:space="0" w:color="D9D9D9"/>
              <w:left w:val="single" w:sz="4" w:space="0" w:color="D9D9D9"/>
              <w:bottom w:val="single" w:sz="4" w:space="0" w:color="D9D9D9"/>
              <w:right w:val="single" w:sz="4" w:space="0" w:color="D9D9D9"/>
            </w:tcBorders>
            <w:shd w:val="clear" w:color="auto" w:fill="F5F5F5"/>
            <w:tcMar>
              <w:top w:w="80" w:type="dxa"/>
              <w:left w:w="120" w:type="dxa"/>
              <w:bottom w:w="80" w:type="dxa"/>
              <w:right w:w="120" w:type="dxa"/>
            </w:tcMar>
          </w:tcPr>
          <w:p w14:paraId="47640E11" w14:textId="77777777" w:rsidR="004B7931" w:rsidRDefault="00000000">
            <w:r>
              <w:rPr>
                <w:b/>
                <w:bCs/>
                <w:sz w:val="19"/>
                <w:szCs w:val="19"/>
              </w:rPr>
              <w:t>Primary Contact Email:</w:t>
            </w:r>
          </w:p>
        </w:tc>
        <w:tc>
          <w:tcPr>
            <w:tcW w:w="6160"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tcPr>
          <w:p w14:paraId="647C8A53" w14:textId="77777777" w:rsidR="004B7931" w:rsidRDefault="004B7931"/>
        </w:tc>
      </w:tr>
      <w:tr w:rsidR="004B7931" w14:paraId="145BD972" w14:textId="77777777">
        <w:tc>
          <w:tcPr>
            <w:tcW w:w="3200" w:type="dxa"/>
            <w:tcBorders>
              <w:top w:val="single" w:sz="4" w:space="0" w:color="D9D9D9"/>
              <w:left w:val="single" w:sz="4" w:space="0" w:color="D9D9D9"/>
              <w:bottom w:val="single" w:sz="4" w:space="0" w:color="D9D9D9"/>
              <w:right w:val="single" w:sz="4" w:space="0" w:color="D9D9D9"/>
            </w:tcBorders>
            <w:shd w:val="clear" w:color="auto" w:fill="F5F5F5"/>
            <w:tcMar>
              <w:top w:w="80" w:type="dxa"/>
              <w:left w:w="120" w:type="dxa"/>
              <w:bottom w:w="80" w:type="dxa"/>
              <w:right w:w="120" w:type="dxa"/>
            </w:tcMar>
          </w:tcPr>
          <w:p w14:paraId="04A5E123" w14:textId="77777777" w:rsidR="004B7931" w:rsidRDefault="00000000">
            <w:r>
              <w:rPr>
                <w:b/>
                <w:bCs/>
                <w:sz w:val="19"/>
                <w:szCs w:val="19"/>
              </w:rPr>
              <w:t>Primary Contact Phone:</w:t>
            </w:r>
          </w:p>
        </w:tc>
        <w:tc>
          <w:tcPr>
            <w:tcW w:w="6160"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tcPr>
          <w:p w14:paraId="6ABA9E68" w14:textId="77777777" w:rsidR="004B7931" w:rsidRDefault="004B7931"/>
        </w:tc>
      </w:tr>
    </w:tbl>
    <w:p w14:paraId="22B19FD7" w14:textId="77777777" w:rsidR="004B7931" w:rsidRDefault="004B7931">
      <w:pPr>
        <w:spacing w:before="12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B7931" w14:paraId="291D9A0C" w14:textId="77777777" w:rsidTr="007F3EB6">
        <w:tc>
          <w:tcPr>
            <w:tcW w:w="9360" w:type="dxa"/>
            <w:tcBorders>
              <w:top w:val="none" w:sz="0" w:space="0" w:color="FFFFFF"/>
              <w:left w:val="none" w:sz="0" w:space="0" w:color="FFFFFF"/>
              <w:bottom w:val="none" w:sz="0" w:space="0" w:color="FFFFFF"/>
              <w:right w:val="none" w:sz="0" w:space="0" w:color="FFFFFF"/>
            </w:tcBorders>
            <w:shd w:val="clear" w:color="auto" w:fill="007B62"/>
            <w:tcMar>
              <w:top w:w="100" w:type="dxa"/>
              <w:left w:w="200" w:type="dxa"/>
              <w:bottom w:w="100" w:type="dxa"/>
              <w:right w:w="200" w:type="dxa"/>
            </w:tcMar>
          </w:tcPr>
          <w:p w14:paraId="134DC224" w14:textId="77777777" w:rsidR="004B7931" w:rsidRDefault="00000000">
            <w:r>
              <w:rPr>
                <w:b/>
                <w:bCs/>
                <w:color w:val="FFFFFF"/>
                <w:sz w:val="22"/>
                <w:szCs w:val="22"/>
              </w:rPr>
              <w:t>Part 2: Geographic Coverage Summary</w:t>
            </w:r>
          </w:p>
        </w:tc>
      </w:tr>
    </w:tbl>
    <w:p w14:paraId="6FAB9653" w14:textId="77777777" w:rsidR="004B7931" w:rsidRDefault="004B7931" w:rsidP="007F3EB6">
      <w:pPr>
        <w:shd w:val="clear" w:color="auto" w:fill="007B62"/>
        <w:spacing w:before="6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2000"/>
        <w:gridCol w:w="2000"/>
        <w:gridCol w:w="2360"/>
      </w:tblGrid>
      <w:tr w:rsidR="004B7931" w14:paraId="19F717C4" w14:textId="77777777">
        <w:tc>
          <w:tcPr>
            <w:tcW w:w="3000" w:type="dxa"/>
            <w:tcBorders>
              <w:top w:val="single" w:sz="4" w:space="0" w:color="D9D9D9"/>
              <w:left w:val="single" w:sz="4" w:space="0" w:color="D9D9D9"/>
              <w:bottom w:val="single" w:sz="4" w:space="0" w:color="D9D9D9"/>
              <w:right w:val="single" w:sz="4" w:space="0" w:color="D9D9D9"/>
            </w:tcBorders>
            <w:shd w:val="clear" w:color="auto" w:fill="1F4E79"/>
            <w:tcMar>
              <w:top w:w="80" w:type="dxa"/>
              <w:left w:w="120" w:type="dxa"/>
              <w:bottom w:w="80" w:type="dxa"/>
              <w:right w:w="120" w:type="dxa"/>
            </w:tcMar>
          </w:tcPr>
          <w:p w14:paraId="24B2D16F" w14:textId="77777777" w:rsidR="004B7931" w:rsidRDefault="00000000" w:rsidP="007F3EB6">
            <w:pPr>
              <w:shd w:val="clear" w:color="auto" w:fill="007B62"/>
            </w:pPr>
            <w:r>
              <w:rPr>
                <w:b/>
                <w:bCs/>
                <w:color w:val="FFFFFF"/>
                <w:sz w:val="19"/>
                <w:szCs w:val="19"/>
              </w:rPr>
              <w:t>State</w:t>
            </w:r>
          </w:p>
        </w:tc>
        <w:tc>
          <w:tcPr>
            <w:tcW w:w="2000" w:type="dxa"/>
            <w:tcBorders>
              <w:top w:val="single" w:sz="4" w:space="0" w:color="D9D9D9"/>
              <w:left w:val="single" w:sz="4" w:space="0" w:color="D9D9D9"/>
              <w:bottom w:val="single" w:sz="4" w:space="0" w:color="D9D9D9"/>
              <w:right w:val="single" w:sz="4" w:space="0" w:color="D9D9D9"/>
            </w:tcBorders>
            <w:shd w:val="clear" w:color="auto" w:fill="1F4E79"/>
            <w:tcMar>
              <w:top w:w="80" w:type="dxa"/>
              <w:left w:w="120" w:type="dxa"/>
              <w:bottom w:w="80" w:type="dxa"/>
              <w:right w:w="120" w:type="dxa"/>
            </w:tcMar>
          </w:tcPr>
          <w:p w14:paraId="7B195CB9" w14:textId="77777777" w:rsidR="004B7931" w:rsidRDefault="00000000" w:rsidP="007F3EB6">
            <w:pPr>
              <w:shd w:val="clear" w:color="auto" w:fill="007B62"/>
            </w:pPr>
            <w:r>
              <w:rPr>
                <w:b/>
                <w:bCs/>
                <w:color w:val="FFFFFF"/>
                <w:sz w:val="19"/>
                <w:szCs w:val="19"/>
              </w:rPr>
              <w:t>No. of Branches</w:t>
            </w:r>
          </w:p>
        </w:tc>
        <w:tc>
          <w:tcPr>
            <w:tcW w:w="2000" w:type="dxa"/>
            <w:tcBorders>
              <w:top w:val="single" w:sz="4" w:space="0" w:color="D9D9D9"/>
              <w:left w:val="single" w:sz="4" w:space="0" w:color="D9D9D9"/>
              <w:bottom w:val="single" w:sz="4" w:space="0" w:color="D9D9D9"/>
              <w:right w:val="single" w:sz="4" w:space="0" w:color="D9D9D9"/>
            </w:tcBorders>
            <w:shd w:val="clear" w:color="auto" w:fill="1F4E79"/>
            <w:tcMar>
              <w:top w:w="80" w:type="dxa"/>
              <w:left w:w="120" w:type="dxa"/>
              <w:bottom w:w="80" w:type="dxa"/>
              <w:right w:w="120" w:type="dxa"/>
            </w:tcMar>
          </w:tcPr>
          <w:p w14:paraId="17071767" w14:textId="77777777" w:rsidR="004B7931" w:rsidRDefault="00000000" w:rsidP="007F3EB6">
            <w:pPr>
              <w:shd w:val="clear" w:color="auto" w:fill="007B62"/>
            </w:pPr>
            <w:r>
              <w:rPr>
                <w:b/>
                <w:bCs/>
                <w:color w:val="FFFFFF"/>
                <w:sz w:val="19"/>
                <w:szCs w:val="19"/>
              </w:rPr>
              <w:t>No. of Agents</w:t>
            </w:r>
          </w:p>
        </w:tc>
        <w:tc>
          <w:tcPr>
            <w:tcW w:w="2360" w:type="dxa"/>
            <w:tcBorders>
              <w:top w:val="single" w:sz="4" w:space="0" w:color="D9D9D9"/>
              <w:left w:val="single" w:sz="4" w:space="0" w:color="D9D9D9"/>
              <w:bottom w:val="single" w:sz="4" w:space="0" w:color="D9D9D9"/>
              <w:right w:val="single" w:sz="4" w:space="0" w:color="D9D9D9"/>
            </w:tcBorders>
            <w:shd w:val="clear" w:color="auto" w:fill="1F4E79"/>
            <w:tcMar>
              <w:top w:w="80" w:type="dxa"/>
              <w:left w:w="120" w:type="dxa"/>
              <w:bottom w:w="80" w:type="dxa"/>
              <w:right w:w="120" w:type="dxa"/>
            </w:tcMar>
          </w:tcPr>
          <w:p w14:paraId="06197701" w14:textId="77777777" w:rsidR="004B7931" w:rsidRDefault="00000000" w:rsidP="007F3EB6">
            <w:pPr>
              <w:shd w:val="clear" w:color="auto" w:fill="007B62"/>
            </w:pPr>
            <w:r>
              <w:rPr>
                <w:b/>
                <w:bCs/>
                <w:color w:val="FFFFFF"/>
                <w:sz w:val="19"/>
                <w:szCs w:val="19"/>
              </w:rPr>
              <w:t>Modality Available</w:t>
            </w:r>
          </w:p>
        </w:tc>
      </w:tr>
      <w:tr w:rsidR="004B7931" w14:paraId="231E5567" w14:textId="77777777">
        <w:tc>
          <w:tcPr>
            <w:tcW w:w="3000" w:type="dxa"/>
            <w:tcBorders>
              <w:top w:val="single" w:sz="4" w:space="0" w:color="D9D9D9"/>
              <w:left w:val="single" w:sz="4" w:space="0" w:color="D9D9D9"/>
              <w:bottom w:val="single" w:sz="4" w:space="0" w:color="D9D9D9"/>
              <w:right w:val="single" w:sz="4" w:space="0" w:color="D9D9D9"/>
            </w:tcBorders>
            <w:shd w:val="clear" w:color="auto" w:fill="F5F5F5"/>
            <w:tcMar>
              <w:top w:w="80" w:type="dxa"/>
              <w:left w:w="120" w:type="dxa"/>
              <w:bottom w:w="80" w:type="dxa"/>
              <w:right w:w="120" w:type="dxa"/>
            </w:tcMar>
          </w:tcPr>
          <w:p w14:paraId="375768BC" w14:textId="77777777" w:rsidR="004B7931" w:rsidRDefault="00000000">
            <w:r>
              <w:rPr>
                <w:sz w:val="19"/>
                <w:szCs w:val="19"/>
              </w:rPr>
              <w:t>Khartoum</w:t>
            </w:r>
          </w:p>
        </w:tc>
        <w:tc>
          <w:tcPr>
            <w:tcW w:w="2000" w:type="dxa"/>
            <w:tcBorders>
              <w:top w:val="single" w:sz="4" w:space="0" w:color="D9D9D9"/>
              <w:left w:val="single" w:sz="4" w:space="0" w:color="D9D9D9"/>
              <w:bottom w:val="single" w:sz="4" w:space="0" w:color="D9D9D9"/>
              <w:right w:val="single" w:sz="4" w:space="0" w:color="D9D9D9"/>
            </w:tcBorders>
            <w:shd w:val="clear" w:color="auto" w:fill="F5F5F5"/>
            <w:tcMar>
              <w:top w:w="80" w:type="dxa"/>
              <w:left w:w="120" w:type="dxa"/>
              <w:bottom w:w="80" w:type="dxa"/>
              <w:right w:w="120" w:type="dxa"/>
            </w:tcMar>
          </w:tcPr>
          <w:p w14:paraId="2F59C66B" w14:textId="77777777" w:rsidR="004B7931" w:rsidRDefault="004B7931"/>
        </w:tc>
        <w:tc>
          <w:tcPr>
            <w:tcW w:w="2000" w:type="dxa"/>
            <w:tcBorders>
              <w:top w:val="single" w:sz="4" w:space="0" w:color="D9D9D9"/>
              <w:left w:val="single" w:sz="4" w:space="0" w:color="D9D9D9"/>
              <w:bottom w:val="single" w:sz="4" w:space="0" w:color="D9D9D9"/>
              <w:right w:val="single" w:sz="4" w:space="0" w:color="D9D9D9"/>
            </w:tcBorders>
            <w:shd w:val="clear" w:color="auto" w:fill="F5F5F5"/>
            <w:tcMar>
              <w:top w:w="80" w:type="dxa"/>
              <w:left w:w="120" w:type="dxa"/>
              <w:bottom w:w="80" w:type="dxa"/>
              <w:right w:w="120" w:type="dxa"/>
            </w:tcMar>
          </w:tcPr>
          <w:p w14:paraId="221DD3B6" w14:textId="77777777" w:rsidR="004B7931" w:rsidRDefault="004B7931"/>
        </w:tc>
        <w:tc>
          <w:tcPr>
            <w:tcW w:w="2360" w:type="dxa"/>
            <w:tcBorders>
              <w:top w:val="single" w:sz="4" w:space="0" w:color="D9D9D9"/>
              <w:left w:val="single" w:sz="4" w:space="0" w:color="D9D9D9"/>
              <w:bottom w:val="single" w:sz="4" w:space="0" w:color="D9D9D9"/>
              <w:right w:val="single" w:sz="4" w:space="0" w:color="D9D9D9"/>
            </w:tcBorders>
            <w:shd w:val="clear" w:color="auto" w:fill="F5F5F5"/>
            <w:tcMar>
              <w:top w:w="80" w:type="dxa"/>
              <w:left w:w="120" w:type="dxa"/>
              <w:bottom w:w="80" w:type="dxa"/>
              <w:right w:w="120" w:type="dxa"/>
            </w:tcMar>
          </w:tcPr>
          <w:p w14:paraId="6D4FA29D" w14:textId="77777777" w:rsidR="004B7931" w:rsidRDefault="004B7931"/>
        </w:tc>
      </w:tr>
      <w:tr w:rsidR="004B7931" w14:paraId="1BDE52A2" w14:textId="77777777">
        <w:tc>
          <w:tcPr>
            <w:tcW w:w="300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14:paraId="5DBF0757" w14:textId="77777777" w:rsidR="004B7931" w:rsidRDefault="00000000">
            <w:r>
              <w:rPr>
                <w:sz w:val="19"/>
                <w:szCs w:val="19"/>
              </w:rPr>
              <w:t>North Darfur</w:t>
            </w:r>
          </w:p>
        </w:tc>
        <w:tc>
          <w:tcPr>
            <w:tcW w:w="200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14:paraId="048973EB" w14:textId="77777777" w:rsidR="004B7931" w:rsidRDefault="004B7931"/>
        </w:tc>
        <w:tc>
          <w:tcPr>
            <w:tcW w:w="200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14:paraId="2830B3A6" w14:textId="77777777" w:rsidR="004B7931" w:rsidRDefault="004B7931"/>
        </w:tc>
        <w:tc>
          <w:tcPr>
            <w:tcW w:w="236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14:paraId="6F68A066" w14:textId="77777777" w:rsidR="004B7931" w:rsidRDefault="004B7931"/>
        </w:tc>
      </w:tr>
      <w:tr w:rsidR="004B7931" w14:paraId="6A69C8BA" w14:textId="77777777">
        <w:tc>
          <w:tcPr>
            <w:tcW w:w="3000" w:type="dxa"/>
            <w:tcBorders>
              <w:top w:val="single" w:sz="4" w:space="0" w:color="D9D9D9"/>
              <w:left w:val="single" w:sz="4" w:space="0" w:color="D9D9D9"/>
              <w:bottom w:val="single" w:sz="4" w:space="0" w:color="D9D9D9"/>
              <w:right w:val="single" w:sz="4" w:space="0" w:color="D9D9D9"/>
            </w:tcBorders>
            <w:shd w:val="clear" w:color="auto" w:fill="F5F5F5"/>
            <w:tcMar>
              <w:top w:w="80" w:type="dxa"/>
              <w:left w:w="120" w:type="dxa"/>
              <w:bottom w:w="80" w:type="dxa"/>
              <w:right w:w="120" w:type="dxa"/>
            </w:tcMar>
          </w:tcPr>
          <w:p w14:paraId="3B14C1C8" w14:textId="77777777" w:rsidR="004B7931" w:rsidRDefault="00000000">
            <w:r>
              <w:rPr>
                <w:sz w:val="19"/>
                <w:szCs w:val="19"/>
              </w:rPr>
              <w:t>South Darfur</w:t>
            </w:r>
          </w:p>
        </w:tc>
        <w:tc>
          <w:tcPr>
            <w:tcW w:w="2000" w:type="dxa"/>
            <w:tcBorders>
              <w:top w:val="single" w:sz="4" w:space="0" w:color="D9D9D9"/>
              <w:left w:val="single" w:sz="4" w:space="0" w:color="D9D9D9"/>
              <w:bottom w:val="single" w:sz="4" w:space="0" w:color="D9D9D9"/>
              <w:right w:val="single" w:sz="4" w:space="0" w:color="D9D9D9"/>
            </w:tcBorders>
            <w:shd w:val="clear" w:color="auto" w:fill="F5F5F5"/>
            <w:tcMar>
              <w:top w:w="80" w:type="dxa"/>
              <w:left w:w="120" w:type="dxa"/>
              <w:bottom w:w="80" w:type="dxa"/>
              <w:right w:w="120" w:type="dxa"/>
            </w:tcMar>
          </w:tcPr>
          <w:p w14:paraId="265AE096" w14:textId="77777777" w:rsidR="004B7931" w:rsidRDefault="004B7931"/>
        </w:tc>
        <w:tc>
          <w:tcPr>
            <w:tcW w:w="2000" w:type="dxa"/>
            <w:tcBorders>
              <w:top w:val="single" w:sz="4" w:space="0" w:color="D9D9D9"/>
              <w:left w:val="single" w:sz="4" w:space="0" w:color="D9D9D9"/>
              <w:bottom w:val="single" w:sz="4" w:space="0" w:color="D9D9D9"/>
              <w:right w:val="single" w:sz="4" w:space="0" w:color="D9D9D9"/>
            </w:tcBorders>
            <w:shd w:val="clear" w:color="auto" w:fill="F5F5F5"/>
            <w:tcMar>
              <w:top w:w="80" w:type="dxa"/>
              <w:left w:w="120" w:type="dxa"/>
              <w:bottom w:w="80" w:type="dxa"/>
              <w:right w:w="120" w:type="dxa"/>
            </w:tcMar>
          </w:tcPr>
          <w:p w14:paraId="0766A68C" w14:textId="77777777" w:rsidR="004B7931" w:rsidRDefault="004B7931"/>
        </w:tc>
        <w:tc>
          <w:tcPr>
            <w:tcW w:w="2360" w:type="dxa"/>
            <w:tcBorders>
              <w:top w:val="single" w:sz="4" w:space="0" w:color="D9D9D9"/>
              <w:left w:val="single" w:sz="4" w:space="0" w:color="D9D9D9"/>
              <w:bottom w:val="single" w:sz="4" w:space="0" w:color="D9D9D9"/>
              <w:right w:val="single" w:sz="4" w:space="0" w:color="D9D9D9"/>
            </w:tcBorders>
            <w:shd w:val="clear" w:color="auto" w:fill="F5F5F5"/>
            <w:tcMar>
              <w:top w:w="80" w:type="dxa"/>
              <w:left w:w="120" w:type="dxa"/>
              <w:bottom w:w="80" w:type="dxa"/>
              <w:right w:w="120" w:type="dxa"/>
            </w:tcMar>
          </w:tcPr>
          <w:p w14:paraId="08100A5A" w14:textId="77777777" w:rsidR="004B7931" w:rsidRDefault="004B7931"/>
        </w:tc>
      </w:tr>
      <w:tr w:rsidR="004B7931" w14:paraId="6985536A" w14:textId="77777777">
        <w:tc>
          <w:tcPr>
            <w:tcW w:w="300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14:paraId="774683F3" w14:textId="77777777" w:rsidR="004B7931" w:rsidRDefault="00000000">
            <w:r>
              <w:rPr>
                <w:sz w:val="19"/>
                <w:szCs w:val="19"/>
              </w:rPr>
              <w:t>West Darfur</w:t>
            </w:r>
          </w:p>
        </w:tc>
        <w:tc>
          <w:tcPr>
            <w:tcW w:w="200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14:paraId="6740EF32" w14:textId="77777777" w:rsidR="004B7931" w:rsidRDefault="004B7931"/>
        </w:tc>
        <w:tc>
          <w:tcPr>
            <w:tcW w:w="200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14:paraId="41253CFC" w14:textId="77777777" w:rsidR="004B7931" w:rsidRDefault="004B7931"/>
        </w:tc>
        <w:tc>
          <w:tcPr>
            <w:tcW w:w="236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14:paraId="4CA177FF" w14:textId="77777777" w:rsidR="004B7931" w:rsidRDefault="004B7931"/>
        </w:tc>
      </w:tr>
      <w:tr w:rsidR="004B7931" w14:paraId="32742109" w14:textId="77777777">
        <w:tc>
          <w:tcPr>
            <w:tcW w:w="3000" w:type="dxa"/>
            <w:tcBorders>
              <w:top w:val="single" w:sz="4" w:space="0" w:color="D9D9D9"/>
              <w:left w:val="single" w:sz="4" w:space="0" w:color="D9D9D9"/>
              <w:bottom w:val="single" w:sz="4" w:space="0" w:color="D9D9D9"/>
              <w:right w:val="single" w:sz="4" w:space="0" w:color="D9D9D9"/>
            </w:tcBorders>
            <w:shd w:val="clear" w:color="auto" w:fill="F5F5F5"/>
            <w:tcMar>
              <w:top w:w="80" w:type="dxa"/>
              <w:left w:w="120" w:type="dxa"/>
              <w:bottom w:w="80" w:type="dxa"/>
              <w:right w:w="120" w:type="dxa"/>
            </w:tcMar>
          </w:tcPr>
          <w:p w14:paraId="3ADE0B49" w14:textId="77777777" w:rsidR="004B7931" w:rsidRDefault="00000000">
            <w:r>
              <w:rPr>
                <w:sz w:val="19"/>
                <w:szCs w:val="19"/>
              </w:rPr>
              <w:t>Central Darfur</w:t>
            </w:r>
          </w:p>
        </w:tc>
        <w:tc>
          <w:tcPr>
            <w:tcW w:w="2000" w:type="dxa"/>
            <w:tcBorders>
              <w:top w:val="single" w:sz="4" w:space="0" w:color="D9D9D9"/>
              <w:left w:val="single" w:sz="4" w:space="0" w:color="D9D9D9"/>
              <w:bottom w:val="single" w:sz="4" w:space="0" w:color="D9D9D9"/>
              <w:right w:val="single" w:sz="4" w:space="0" w:color="D9D9D9"/>
            </w:tcBorders>
            <w:shd w:val="clear" w:color="auto" w:fill="F5F5F5"/>
            <w:tcMar>
              <w:top w:w="80" w:type="dxa"/>
              <w:left w:w="120" w:type="dxa"/>
              <w:bottom w:w="80" w:type="dxa"/>
              <w:right w:w="120" w:type="dxa"/>
            </w:tcMar>
          </w:tcPr>
          <w:p w14:paraId="7363BA12" w14:textId="77777777" w:rsidR="004B7931" w:rsidRDefault="004B7931"/>
        </w:tc>
        <w:tc>
          <w:tcPr>
            <w:tcW w:w="2000" w:type="dxa"/>
            <w:tcBorders>
              <w:top w:val="single" w:sz="4" w:space="0" w:color="D9D9D9"/>
              <w:left w:val="single" w:sz="4" w:space="0" w:color="D9D9D9"/>
              <w:bottom w:val="single" w:sz="4" w:space="0" w:color="D9D9D9"/>
              <w:right w:val="single" w:sz="4" w:space="0" w:color="D9D9D9"/>
            </w:tcBorders>
            <w:shd w:val="clear" w:color="auto" w:fill="F5F5F5"/>
            <w:tcMar>
              <w:top w:w="80" w:type="dxa"/>
              <w:left w:w="120" w:type="dxa"/>
              <w:bottom w:w="80" w:type="dxa"/>
              <w:right w:w="120" w:type="dxa"/>
            </w:tcMar>
          </w:tcPr>
          <w:p w14:paraId="53E63A7A" w14:textId="77777777" w:rsidR="004B7931" w:rsidRDefault="004B7931"/>
        </w:tc>
        <w:tc>
          <w:tcPr>
            <w:tcW w:w="2360" w:type="dxa"/>
            <w:tcBorders>
              <w:top w:val="single" w:sz="4" w:space="0" w:color="D9D9D9"/>
              <w:left w:val="single" w:sz="4" w:space="0" w:color="D9D9D9"/>
              <w:bottom w:val="single" w:sz="4" w:space="0" w:color="D9D9D9"/>
              <w:right w:val="single" w:sz="4" w:space="0" w:color="D9D9D9"/>
            </w:tcBorders>
            <w:shd w:val="clear" w:color="auto" w:fill="F5F5F5"/>
            <w:tcMar>
              <w:top w:w="80" w:type="dxa"/>
              <w:left w:w="120" w:type="dxa"/>
              <w:bottom w:w="80" w:type="dxa"/>
              <w:right w:w="120" w:type="dxa"/>
            </w:tcMar>
          </w:tcPr>
          <w:p w14:paraId="425E306A" w14:textId="77777777" w:rsidR="004B7931" w:rsidRDefault="004B7931"/>
        </w:tc>
      </w:tr>
      <w:tr w:rsidR="004B7931" w14:paraId="6CA9C865" w14:textId="77777777">
        <w:tc>
          <w:tcPr>
            <w:tcW w:w="300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14:paraId="2C241789" w14:textId="77777777" w:rsidR="004B7931" w:rsidRDefault="00000000">
            <w:r>
              <w:rPr>
                <w:sz w:val="19"/>
                <w:szCs w:val="19"/>
              </w:rPr>
              <w:t>Blue Nile</w:t>
            </w:r>
          </w:p>
        </w:tc>
        <w:tc>
          <w:tcPr>
            <w:tcW w:w="200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14:paraId="7FA79E42" w14:textId="77777777" w:rsidR="004B7931" w:rsidRDefault="004B7931"/>
        </w:tc>
        <w:tc>
          <w:tcPr>
            <w:tcW w:w="200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14:paraId="5C6F52B8" w14:textId="77777777" w:rsidR="004B7931" w:rsidRDefault="004B7931"/>
        </w:tc>
        <w:tc>
          <w:tcPr>
            <w:tcW w:w="236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14:paraId="35C549B7" w14:textId="77777777" w:rsidR="004B7931" w:rsidRDefault="004B7931"/>
        </w:tc>
      </w:tr>
      <w:tr w:rsidR="004B7931" w14:paraId="27519DC4" w14:textId="77777777">
        <w:tc>
          <w:tcPr>
            <w:tcW w:w="3000" w:type="dxa"/>
            <w:tcBorders>
              <w:top w:val="single" w:sz="4" w:space="0" w:color="D9D9D9"/>
              <w:left w:val="single" w:sz="4" w:space="0" w:color="D9D9D9"/>
              <w:bottom w:val="single" w:sz="4" w:space="0" w:color="D9D9D9"/>
              <w:right w:val="single" w:sz="4" w:space="0" w:color="D9D9D9"/>
            </w:tcBorders>
            <w:shd w:val="clear" w:color="auto" w:fill="F5F5F5"/>
            <w:tcMar>
              <w:top w:w="80" w:type="dxa"/>
              <w:left w:w="120" w:type="dxa"/>
              <w:bottom w:w="80" w:type="dxa"/>
              <w:right w:w="120" w:type="dxa"/>
            </w:tcMar>
          </w:tcPr>
          <w:p w14:paraId="4879BF81" w14:textId="77777777" w:rsidR="004B7931" w:rsidRDefault="00000000">
            <w:r>
              <w:rPr>
                <w:sz w:val="19"/>
                <w:szCs w:val="19"/>
              </w:rPr>
              <w:t>South Kordofan</w:t>
            </w:r>
          </w:p>
        </w:tc>
        <w:tc>
          <w:tcPr>
            <w:tcW w:w="2000" w:type="dxa"/>
            <w:tcBorders>
              <w:top w:val="single" w:sz="4" w:space="0" w:color="D9D9D9"/>
              <w:left w:val="single" w:sz="4" w:space="0" w:color="D9D9D9"/>
              <w:bottom w:val="single" w:sz="4" w:space="0" w:color="D9D9D9"/>
              <w:right w:val="single" w:sz="4" w:space="0" w:color="D9D9D9"/>
            </w:tcBorders>
            <w:shd w:val="clear" w:color="auto" w:fill="F5F5F5"/>
            <w:tcMar>
              <w:top w:w="80" w:type="dxa"/>
              <w:left w:w="120" w:type="dxa"/>
              <w:bottom w:w="80" w:type="dxa"/>
              <w:right w:w="120" w:type="dxa"/>
            </w:tcMar>
          </w:tcPr>
          <w:p w14:paraId="01B4989A" w14:textId="77777777" w:rsidR="004B7931" w:rsidRDefault="004B7931"/>
        </w:tc>
        <w:tc>
          <w:tcPr>
            <w:tcW w:w="2000" w:type="dxa"/>
            <w:tcBorders>
              <w:top w:val="single" w:sz="4" w:space="0" w:color="D9D9D9"/>
              <w:left w:val="single" w:sz="4" w:space="0" w:color="D9D9D9"/>
              <w:bottom w:val="single" w:sz="4" w:space="0" w:color="D9D9D9"/>
              <w:right w:val="single" w:sz="4" w:space="0" w:color="D9D9D9"/>
            </w:tcBorders>
            <w:shd w:val="clear" w:color="auto" w:fill="F5F5F5"/>
            <w:tcMar>
              <w:top w:w="80" w:type="dxa"/>
              <w:left w:w="120" w:type="dxa"/>
              <w:bottom w:w="80" w:type="dxa"/>
              <w:right w:w="120" w:type="dxa"/>
            </w:tcMar>
          </w:tcPr>
          <w:p w14:paraId="084EEC2B" w14:textId="77777777" w:rsidR="004B7931" w:rsidRDefault="004B7931"/>
        </w:tc>
        <w:tc>
          <w:tcPr>
            <w:tcW w:w="2360" w:type="dxa"/>
            <w:tcBorders>
              <w:top w:val="single" w:sz="4" w:space="0" w:color="D9D9D9"/>
              <w:left w:val="single" w:sz="4" w:space="0" w:color="D9D9D9"/>
              <w:bottom w:val="single" w:sz="4" w:space="0" w:color="D9D9D9"/>
              <w:right w:val="single" w:sz="4" w:space="0" w:color="D9D9D9"/>
            </w:tcBorders>
            <w:shd w:val="clear" w:color="auto" w:fill="F5F5F5"/>
            <w:tcMar>
              <w:top w:w="80" w:type="dxa"/>
              <w:left w:w="120" w:type="dxa"/>
              <w:bottom w:w="80" w:type="dxa"/>
              <w:right w:w="120" w:type="dxa"/>
            </w:tcMar>
          </w:tcPr>
          <w:p w14:paraId="56C6E525" w14:textId="77777777" w:rsidR="004B7931" w:rsidRDefault="004B7931"/>
        </w:tc>
      </w:tr>
      <w:tr w:rsidR="004B7931" w14:paraId="1954AB44" w14:textId="77777777">
        <w:tc>
          <w:tcPr>
            <w:tcW w:w="300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14:paraId="011E30E3" w14:textId="77777777" w:rsidR="004B7931" w:rsidRDefault="00000000">
            <w:r>
              <w:rPr>
                <w:sz w:val="19"/>
                <w:szCs w:val="19"/>
              </w:rPr>
              <w:t>North Kordofan</w:t>
            </w:r>
          </w:p>
        </w:tc>
        <w:tc>
          <w:tcPr>
            <w:tcW w:w="200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14:paraId="7E462F48" w14:textId="77777777" w:rsidR="004B7931" w:rsidRDefault="004B7931"/>
        </w:tc>
        <w:tc>
          <w:tcPr>
            <w:tcW w:w="200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14:paraId="6590CD8C" w14:textId="77777777" w:rsidR="004B7931" w:rsidRDefault="004B7931"/>
        </w:tc>
        <w:tc>
          <w:tcPr>
            <w:tcW w:w="236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14:paraId="7F2A6AEB" w14:textId="77777777" w:rsidR="004B7931" w:rsidRDefault="004B7931"/>
        </w:tc>
      </w:tr>
      <w:tr w:rsidR="004B7931" w14:paraId="79B1CAF6" w14:textId="77777777">
        <w:tc>
          <w:tcPr>
            <w:tcW w:w="3000" w:type="dxa"/>
            <w:tcBorders>
              <w:top w:val="single" w:sz="4" w:space="0" w:color="D9D9D9"/>
              <w:left w:val="single" w:sz="4" w:space="0" w:color="D9D9D9"/>
              <w:bottom w:val="single" w:sz="4" w:space="0" w:color="D9D9D9"/>
              <w:right w:val="single" w:sz="4" w:space="0" w:color="D9D9D9"/>
            </w:tcBorders>
            <w:shd w:val="clear" w:color="auto" w:fill="F5F5F5"/>
            <w:tcMar>
              <w:top w:w="80" w:type="dxa"/>
              <w:left w:w="120" w:type="dxa"/>
              <w:bottom w:w="80" w:type="dxa"/>
              <w:right w:w="120" w:type="dxa"/>
            </w:tcMar>
          </w:tcPr>
          <w:p w14:paraId="603B06C6" w14:textId="77777777" w:rsidR="004B7931" w:rsidRDefault="00000000">
            <w:r>
              <w:rPr>
                <w:sz w:val="19"/>
                <w:szCs w:val="19"/>
              </w:rPr>
              <w:t>White Nile</w:t>
            </w:r>
          </w:p>
        </w:tc>
        <w:tc>
          <w:tcPr>
            <w:tcW w:w="2000" w:type="dxa"/>
            <w:tcBorders>
              <w:top w:val="single" w:sz="4" w:space="0" w:color="D9D9D9"/>
              <w:left w:val="single" w:sz="4" w:space="0" w:color="D9D9D9"/>
              <w:bottom w:val="single" w:sz="4" w:space="0" w:color="D9D9D9"/>
              <w:right w:val="single" w:sz="4" w:space="0" w:color="D9D9D9"/>
            </w:tcBorders>
            <w:shd w:val="clear" w:color="auto" w:fill="F5F5F5"/>
            <w:tcMar>
              <w:top w:w="80" w:type="dxa"/>
              <w:left w:w="120" w:type="dxa"/>
              <w:bottom w:w="80" w:type="dxa"/>
              <w:right w:w="120" w:type="dxa"/>
            </w:tcMar>
          </w:tcPr>
          <w:p w14:paraId="537FC72D" w14:textId="77777777" w:rsidR="004B7931" w:rsidRDefault="004B7931"/>
        </w:tc>
        <w:tc>
          <w:tcPr>
            <w:tcW w:w="2000" w:type="dxa"/>
            <w:tcBorders>
              <w:top w:val="single" w:sz="4" w:space="0" w:color="D9D9D9"/>
              <w:left w:val="single" w:sz="4" w:space="0" w:color="D9D9D9"/>
              <w:bottom w:val="single" w:sz="4" w:space="0" w:color="D9D9D9"/>
              <w:right w:val="single" w:sz="4" w:space="0" w:color="D9D9D9"/>
            </w:tcBorders>
            <w:shd w:val="clear" w:color="auto" w:fill="F5F5F5"/>
            <w:tcMar>
              <w:top w:w="80" w:type="dxa"/>
              <w:left w:w="120" w:type="dxa"/>
              <w:bottom w:w="80" w:type="dxa"/>
              <w:right w:w="120" w:type="dxa"/>
            </w:tcMar>
          </w:tcPr>
          <w:p w14:paraId="6808DCBE" w14:textId="77777777" w:rsidR="004B7931" w:rsidRDefault="004B7931"/>
        </w:tc>
        <w:tc>
          <w:tcPr>
            <w:tcW w:w="2360" w:type="dxa"/>
            <w:tcBorders>
              <w:top w:val="single" w:sz="4" w:space="0" w:color="D9D9D9"/>
              <w:left w:val="single" w:sz="4" w:space="0" w:color="D9D9D9"/>
              <w:bottom w:val="single" w:sz="4" w:space="0" w:color="D9D9D9"/>
              <w:right w:val="single" w:sz="4" w:space="0" w:color="D9D9D9"/>
            </w:tcBorders>
            <w:shd w:val="clear" w:color="auto" w:fill="F5F5F5"/>
            <w:tcMar>
              <w:top w:w="80" w:type="dxa"/>
              <w:left w:w="120" w:type="dxa"/>
              <w:bottom w:w="80" w:type="dxa"/>
              <w:right w:w="120" w:type="dxa"/>
            </w:tcMar>
          </w:tcPr>
          <w:p w14:paraId="3709453B" w14:textId="77777777" w:rsidR="004B7931" w:rsidRDefault="004B7931"/>
        </w:tc>
      </w:tr>
      <w:tr w:rsidR="004B7931" w14:paraId="31828908" w14:textId="77777777">
        <w:tc>
          <w:tcPr>
            <w:tcW w:w="300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14:paraId="34C43A1A" w14:textId="77777777" w:rsidR="004B7931" w:rsidRDefault="00000000">
            <w:r>
              <w:rPr>
                <w:sz w:val="19"/>
                <w:szCs w:val="19"/>
              </w:rPr>
              <w:t>Kassala</w:t>
            </w:r>
          </w:p>
        </w:tc>
        <w:tc>
          <w:tcPr>
            <w:tcW w:w="200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14:paraId="66F5BF26" w14:textId="77777777" w:rsidR="004B7931" w:rsidRDefault="004B7931"/>
        </w:tc>
        <w:tc>
          <w:tcPr>
            <w:tcW w:w="200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14:paraId="7CB30E7C" w14:textId="77777777" w:rsidR="004B7931" w:rsidRDefault="004B7931"/>
        </w:tc>
        <w:tc>
          <w:tcPr>
            <w:tcW w:w="236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14:paraId="7C3FAAA5" w14:textId="77777777" w:rsidR="004B7931" w:rsidRDefault="004B7931"/>
        </w:tc>
      </w:tr>
      <w:tr w:rsidR="004B7931" w14:paraId="77D2BA7A" w14:textId="77777777">
        <w:tc>
          <w:tcPr>
            <w:tcW w:w="3000" w:type="dxa"/>
            <w:tcBorders>
              <w:top w:val="single" w:sz="4" w:space="0" w:color="D9D9D9"/>
              <w:left w:val="single" w:sz="4" w:space="0" w:color="D9D9D9"/>
              <w:bottom w:val="single" w:sz="4" w:space="0" w:color="D9D9D9"/>
              <w:right w:val="single" w:sz="4" w:space="0" w:color="D9D9D9"/>
            </w:tcBorders>
            <w:shd w:val="clear" w:color="auto" w:fill="F5F5F5"/>
            <w:tcMar>
              <w:top w:w="80" w:type="dxa"/>
              <w:left w:w="120" w:type="dxa"/>
              <w:bottom w:w="80" w:type="dxa"/>
              <w:right w:w="120" w:type="dxa"/>
            </w:tcMar>
          </w:tcPr>
          <w:p w14:paraId="77CFD2F1" w14:textId="77777777" w:rsidR="004B7931" w:rsidRDefault="00000000">
            <w:proofErr w:type="spellStart"/>
            <w:r>
              <w:rPr>
                <w:sz w:val="19"/>
                <w:szCs w:val="19"/>
              </w:rPr>
              <w:t>Gedaref</w:t>
            </w:r>
            <w:proofErr w:type="spellEnd"/>
          </w:p>
        </w:tc>
        <w:tc>
          <w:tcPr>
            <w:tcW w:w="2000" w:type="dxa"/>
            <w:tcBorders>
              <w:top w:val="single" w:sz="4" w:space="0" w:color="D9D9D9"/>
              <w:left w:val="single" w:sz="4" w:space="0" w:color="D9D9D9"/>
              <w:bottom w:val="single" w:sz="4" w:space="0" w:color="D9D9D9"/>
              <w:right w:val="single" w:sz="4" w:space="0" w:color="D9D9D9"/>
            </w:tcBorders>
            <w:shd w:val="clear" w:color="auto" w:fill="F5F5F5"/>
            <w:tcMar>
              <w:top w:w="80" w:type="dxa"/>
              <w:left w:w="120" w:type="dxa"/>
              <w:bottom w:w="80" w:type="dxa"/>
              <w:right w:w="120" w:type="dxa"/>
            </w:tcMar>
          </w:tcPr>
          <w:p w14:paraId="7ADC5BFC" w14:textId="77777777" w:rsidR="004B7931" w:rsidRDefault="004B7931"/>
        </w:tc>
        <w:tc>
          <w:tcPr>
            <w:tcW w:w="2000" w:type="dxa"/>
            <w:tcBorders>
              <w:top w:val="single" w:sz="4" w:space="0" w:color="D9D9D9"/>
              <w:left w:val="single" w:sz="4" w:space="0" w:color="D9D9D9"/>
              <w:bottom w:val="single" w:sz="4" w:space="0" w:color="D9D9D9"/>
              <w:right w:val="single" w:sz="4" w:space="0" w:color="D9D9D9"/>
            </w:tcBorders>
            <w:shd w:val="clear" w:color="auto" w:fill="F5F5F5"/>
            <w:tcMar>
              <w:top w:w="80" w:type="dxa"/>
              <w:left w:w="120" w:type="dxa"/>
              <w:bottom w:w="80" w:type="dxa"/>
              <w:right w:w="120" w:type="dxa"/>
            </w:tcMar>
          </w:tcPr>
          <w:p w14:paraId="72C1DD16" w14:textId="77777777" w:rsidR="004B7931" w:rsidRDefault="004B7931"/>
        </w:tc>
        <w:tc>
          <w:tcPr>
            <w:tcW w:w="2360" w:type="dxa"/>
            <w:tcBorders>
              <w:top w:val="single" w:sz="4" w:space="0" w:color="D9D9D9"/>
              <w:left w:val="single" w:sz="4" w:space="0" w:color="D9D9D9"/>
              <w:bottom w:val="single" w:sz="4" w:space="0" w:color="D9D9D9"/>
              <w:right w:val="single" w:sz="4" w:space="0" w:color="D9D9D9"/>
            </w:tcBorders>
            <w:shd w:val="clear" w:color="auto" w:fill="F5F5F5"/>
            <w:tcMar>
              <w:top w:w="80" w:type="dxa"/>
              <w:left w:w="120" w:type="dxa"/>
              <w:bottom w:w="80" w:type="dxa"/>
              <w:right w:w="120" w:type="dxa"/>
            </w:tcMar>
          </w:tcPr>
          <w:p w14:paraId="124B8FA7" w14:textId="77777777" w:rsidR="004B7931" w:rsidRDefault="004B7931"/>
        </w:tc>
      </w:tr>
      <w:tr w:rsidR="004B7931" w14:paraId="6DCDF19B" w14:textId="77777777">
        <w:tc>
          <w:tcPr>
            <w:tcW w:w="300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14:paraId="6A48DF17" w14:textId="77777777" w:rsidR="004B7931" w:rsidRDefault="00000000">
            <w:r>
              <w:rPr>
                <w:sz w:val="19"/>
                <w:szCs w:val="19"/>
              </w:rPr>
              <w:t>River Nile</w:t>
            </w:r>
          </w:p>
        </w:tc>
        <w:tc>
          <w:tcPr>
            <w:tcW w:w="200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14:paraId="08A37077" w14:textId="77777777" w:rsidR="004B7931" w:rsidRDefault="004B7931"/>
        </w:tc>
        <w:tc>
          <w:tcPr>
            <w:tcW w:w="200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14:paraId="011E496B" w14:textId="77777777" w:rsidR="004B7931" w:rsidRDefault="004B7931"/>
        </w:tc>
        <w:tc>
          <w:tcPr>
            <w:tcW w:w="236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14:paraId="01F34C97" w14:textId="77777777" w:rsidR="004B7931" w:rsidRDefault="004B7931"/>
        </w:tc>
      </w:tr>
      <w:tr w:rsidR="004B7931" w14:paraId="45A56E19" w14:textId="77777777">
        <w:tc>
          <w:tcPr>
            <w:tcW w:w="3000" w:type="dxa"/>
            <w:tcBorders>
              <w:top w:val="single" w:sz="4" w:space="0" w:color="D9D9D9"/>
              <w:left w:val="single" w:sz="4" w:space="0" w:color="D9D9D9"/>
              <w:bottom w:val="single" w:sz="4" w:space="0" w:color="D9D9D9"/>
              <w:right w:val="single" w:sz="4" w:space="0" w:color="D9D9D9"/>
            </w:tcBorders>
            <w:shd w:val="clear" w:color="auto" w:fill="F5F5F5"/>
            <w:tcMar>
              <w:top w:w="80" w:type="dxa"/>
              <w:left w:w="120" w:type="dxa"/>
              <w:bottom w:w="80" w:type="dxa"/>
              <w:right w:w="120" w:type="dxa"/>
            </w:tcMar>
          </w:tcPr>
          <w:p w14:paraId="10BAA7DB" w14:textId="77777777" w:rsidR="004B7931" w:rsidRDefault="00000000">
            <w:r>
              <w:rPr>
                <w:sz w:val="19"/>
                <w:szCs w:val="19"/>
              </w:rPr>
              <w:t>Red Sea</w:t>
            </w:r>
          </w:p>
        </w:tc>
        <w:tc>
          <w:tcPr>
            <w:tcW w:w="2000" w:type="dxa"/>
            <w:tcBorders>
              <w:top w:val="single" w:sz="4" w:space="0" w:color="D9D9D9"/>
              <w:left w:val="single" w:sz="4" w:space="0" w:color="D9D9D9"/>
              <w:bottom w:val="single" w:sz="4" w:space="0" w:color="D9D9D9"/>
              <w:right w:val="single" w:sz="4" w:space="0" w:color="D9D9D9"/>
            </w:tcBorders>
            <w:shd w:val="clear" w:color="auto" w:fill="F5F5F5"/>
            <w:tcMar>
              <w:top w:w="80" w:type="dxa"/>
              <w:left w:w="120" w:type="dxa"/>
              <w:bottom w:w="80" w:type="dxa"/>
              <w:right w:w="120" w:type="dxa"/>
            </w:tcMar>
          </w:tcPr>
          <w:p w14:paraId="63C62DEF" w14:textId="77777777" w:rsidR="004B7931" w:rsidRDefault="004B7931"/>
        </w:tc>
        <w:tc>
          <w:tcPr>
            <w:tcW w:w="2000" w:type="dxa"/>
            <w:tcBorders>
              <w:top w:val="single" w:sz="4" w:space="0" w:color="D9D9D9"/>
              <w:left w:val="single" w:sz="4" w:space="0" w:color="D9D9D9"/>
              <w:bottom w:val="single" w:sz="4" w:space="0" w:color="D9D9D9"/>
              <w:right w:val="single" w:sz="4" w:space="0" w:color="D9D9D9"/>
            </w:tcBorders>
            <w:shd w:val="clear" w:color="auto" w:fill="F5F5F5"/>
            <w:tcMar>
              <w:top w:w="80" w:type="dxa"/>
              <w:left w:w="120" w:type="dxa"/>
              <w:bottom w:w="80" w:type="dxa"/>
              <w:right w:w="120" w:type="dxa"/>
            </w:tcMar>
          </w:tcPr>
          <w:p w14:paraId="44DD1E90" w14:textId="77777777" w:rsidR="004B7931" w:rsidRDefault="004B7931"/>
        </w:tc>
        <w:tc>
          <w:tcPr>
            <w:tcW w:w="2360" w:type="dxa"/>
            <w:tcBorders>
              <w:top w:val="single" w:sz="4" w:space="0" w:color="D9D9D9"/>
              <w:left w:val="single" w:sz="4" w:space="0" w:color="D9D9D9"/>
              <w:bottom w:val="single" w:sz="4" w:space="0" w:color="D9D9D9"/>
              <w:right w:val="single" w:sz="4" w:space="0" w:color="D9D9D9"/>
            </w:tcBorders>
            <w:shd w:val="clear" w:color="auto" w:fill="F5F5F5"/>
            <w:tcMar>
              <w:top w:w="80" w:type="dxa"/>
              <w:left w:w="120" w:type="dxa"/>
              <w:bottom w:w="80" w:type="dxa"/>
              <w:right w:w="120" w:type="dxa"/>
            </w:tcMar>
          </w:tcPr>
          <w:p w14:paraId="71EA5400" w14:textId="77777777" w:rsidR="004B7931" w:rsidRDefault="004B7931"/>
        </w:tc>
      </w:tr>
      <w:tr w:rsidR="004B7931" w14:paraId="062E6FC0" w14:textId="77777777">
        <w:tc>
          <w:tcPr>
            <w:tcW w:w="300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14:paraId="767D96B6" w14:textId="77777777" w:rsidR="004B7931" w:rsidRDefault="00000000">
            <w:r>
              <w:rPr>
                <w:sz w:val="19"/>
                <w:szCs w:val="19"/>
              </w:rPr>
              <w:t>Other (specify)</w:t>
            </w:r>
          </w:p>
        </w:tc>
        <w:tc>
          <w:tcPr>
            <w:tcW w:w="200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14:paraId="4B0BB7F5" w14:textId="77777777" w:rsidR="004B7931" w:rsidRDefault="004B7931"/>
        </w:tc>
        <w:tc>
          <w:tcPr>
            <w:tcW w:w="200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14:paraId="1B9D04CD" w14:textId="77777777" w:rsidR="004B7931" w:rsidRDefault="004B7931"/>
        </w:tc>
        <w:tc>
          <w:tcPr>
            <w:tcW w:w="236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14:paraId="71CDFB4B" w14:textId="77777777" w:rsidR="004B7931" w:rsidRDefault="004B7931"/>
        </w:tc>
      </w:tr>
    </w:tbl>
    <w:p w14:paraId="3E81C3D6" w14:textId="77777777" w:rsidR="004B7931" w:rsidRDefault="004B7931">
      <w:pPr>
        <w:spacing w:before="12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B7931" w14:paraId="7FFC64A8" w14:textId="77777777" w:rsidTr="007F3EB6">
        <w:tc>
          <w:tcPr>
            <w:tcW w:w="9360" w:type="dxa"/>
            <w:tcBorders>
              <w:top w:val="none" w:sz="0" w:space="0" w:color="FFFFFF"/>
              <w:left w:val="none" w:sz="0" w:space="0" w:color="FFFFFF"/>
              <w:bottom w:val="none" w:sz="0" w:space="0" w:color="FFFFFF"/>
              <w:right w:val="none" w:sz="0" w:space="0" w:color="FFFFFF"/>
            </w:tcBorders>
            <w:shd w:val="clear" w:color="auto" w:fill="007B62"/>
            <w:tcMar>
              <w:top w:w="100" w:type="dxa"/>
              <w:left w:w="200" w:type="dxa"/>
              <w:bottom w:w="100" w:type="dxa"/>
              <w:right w:w="200" w:type="dxa"/>
            </w:tcMar>
          </w:tcPr>
          <w:p w14:paraId="1342AD3B" w14:textId="77777777" w:rsidR="004B7931" w:rsidRDefault="00000000">
            <w:r>
              <w:rPr>
                <w:b/>
                <w:bCs/>
                <w:color w:val="FFFFFF"/>
                <w:sz w:val="22"/>
                <w:szCs w:val="22"/>
              </w:rPr>
              <w:t>Part 3: Indicative Fee Schedule (See also Annex B)</w:t>
            </w:r>
          </w:p>
        </w:tc>
      </w:tr>
    </w:tbl>
    <w:p w14:paraId="10AE7207" w14:textId="77777777" w:rsidR="004B7931" w:rsidRDefault="004B7931">
      <w:pPr>
        <w:spacing w:before="60" w:after="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6160"/>
      </w:tblGrid>
      <w:tr w:rsidR="004B7931" w14:paraId="357D089D" w14:textId="77777777">
        <w:tc>
          <w:tcPr>
            <w:tcW w:w="3200" w:type="dxa"/>
            <w:tcBorders>
              <w:top w:val="single" w:sz="4" w:space="0" w:color="D9D9D9"/>
              <w:left w:val="single" w:sz="4" w:space="0" w:color="D9D9D9"/>
              <w:bottom w:val="single" w:sz="4" w:space="0" w:color="D9D9D9"/>
              <w:right w:val="single" w:sz="4" w:space="0" w:color="D9D9D9"/>
            </w:tcBorders>
            <w:shd w:val="clear" w:color="auto" w:fill="F5F5F5"/>
            <w:tcMar>
              <w:top w:w="80" w:type="dxa"/>
              <w:left w:w="120" w:type="dxa"/>
              <w:bottom w:w="80" w:type="dxa"/>
              <w:right w:w="120" w:type="dxa"/>
            </w:tcMar>
          </w:tcPr>
          <w:p w14:paraId="0F5926BA" w14:textId="77777777" w:rsidR="004B7931" w:rsidRDefault="00000000">
            <w:r>
              <w:rPr>
                <w:b/>
                <w:bCs/>
                <w:sz w:val="19"/>
                <w:szCs w:val="19"/>
              </w:rPr>
              <w:t>OTC Cash Distribution Fee:</w:t>
            </w:r>
          </w:p>
        </w:tc>
        <w:tc>
          <w:tcPr>
            <w:tcW w:w="6160"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tcPr>
          <w:p w14:paraId="6A2F592D" w14:textId="77777777" w:rsidR="004B7931" w:rsidRDefault="00000000">
            <w:r>
              <w:rPr>
                <w:i/>
                <w:iCs/>
                <w:color w:val="AAAAAA"/>
                <w:sz w:val="19"/>
                <w:szCs w:val="19"/>
              </w:rPr>
              <w:t>% of transfer value or flat fee per transaction</w:t>
            </w:r>
          </w:p>
        </w:tc>
      </w:tr>
      <w:tr w:rsidR="004B7931" w14:paraId="709607BF" w14:textId="77777777">
        <w:tc>
          <w:tcPr>
            <w:tcW w:w="3200" w:type="dxa"/>
            <w:tcBorders>
              <w:top w:val="single" w:sz="4" w:space="0" w:color="D9D9D9"/>
              <w:left w:val="single" w:sz="4" w:space="0" w:color="D9D9D9"/>
              <w:bottom w:val="single" w:sz="4" w:space="0" w:color="D9D9D9"/>
              <w:right w:val="single" w:sz="4" w:space="0" w:color="D9D9D9"/>
            </w:tcBorders>
            <w:shd w:val="clear" w:color="auto" w:fill="F5F5F5"/>
            <w:tcMar>
              <w:top w:w="80" w:type="dxa"/>
              <w:left w:w="120" w:type="dxa"/>
              <w:bottom w:w="80" w:type="dxa"/>
              <w:right w:w="120" w:type="dxa"/>
            </w:tcMar>
          </w:tcPr>
          <w:p w14:paraId="18C02CC7" w14:textId="77777777" w:rsidR="004B7931" w:rsidRDefault="00000000">
            <w:r>
              <w:rPr>
                <w:b/>
                <w:bCs/>
                <w:sz w:val="19"/>
                <w:szCs w:val="19"/>
              </w:rPr>
              <w:t>Mobile Money Transfer Fee:</w:t>
            </w:r>
          </w:p>
        </w:tc>
        <w:tc>
          <w:tcPr>
            <w:tcW w:w="6160"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tcPr>
          <w:p w14:paraId="1F829B8C" w14:textId="77777777" w:rsidR="004B7931" w:rsidRDefault="00000000">
            <w:r>
              <w:rPr>
                <w:i/>
                <w:iCs/>
                <w:color w:val="AAAAAA"/>
                <w:sz w:val="19"/>
                <w:szCs w:val="19"/>
              </w:rPr>
              <w:t>% of transfer value or flat fee per transaction</w:t>
            </w:r>
          </w:p>
        </w:tc>
      </w:tr>
      <w:tr w:rsidR="004B7931" w14:paraId="575ACA55" w14:textId="77777777">
        <w:tc>
          <w:tcPr>
            <w:tcW w:w="3200" w:type="dxa"/>
            <w:tcBorders>
              <w:top w:val="single" w:sz="4" w:space="0" w:color="D9D9D9"/>
              <w:left w:val="single" w:sz="4" w:space="0" w:color="D9D9D9"/>
              <w:bottom w:val="single" w:sz="4" w:space="0" w:color="D9D9D9"/>
              <w:right w:val="single" w:sz="4" w:space="0" w:color="D9D9D9"/>
            </w:tcBorders>
            <w:shd w:val="clear" w:color="auto" w:fill="F5F5F5"/>
            <w:tcMar>
              <w:top w:w="80" w:type="dxa"/>
              <w:left w:w="120" w:type="dxa"/>
              <w:bottom w:w="80" w:type="dxa"/>
              <w:right w:w="120" w:type="dxa"/>
            </w:tcMar>
          </w:tcPr>
          <w:p w14:paraId="46B42BF0" w14:textId="77777777" w:rsidR="004B7931" w:rsidRDefault="00000000">
            <w:r>
              <w:rPr>
                <w:b/>
                <w:bCs/>
                <w:sz w:val="19"/>
                <w:szCs w:val="19"/>
              </w:rPr>
              <w:t>Smart Card System Fee:</w:t>
            </w:r>
          </w:p>
        </w:tc>
        <w:tc>
          <w:tcPr>
            <w:tcW w:w="6160"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tcPr>
          <w:p w14:paraId="09067247" w14:textId="77777777" w:rsidR="004B7931" w:rsidRDefault="00000000">
            <w:r>
              <w:rPr>
                <w:i/>
                <w:iCs/>
                <w:color w:val="AAAAAA"/>
                <w:sz w:val="19"/>
                <w:szCs w:val="19"/>
              </w:rPr>
              <w:t>Setup + per-transaction</w:t>
            </w:r>
          </w:p>
        </w:tc>
      </w:tr>
      <w:tr w:rsidR="004B7931" w14:paraId="08E1D27C" w14:textId="77777777">
        <w:tc>
          <w:tcPr>
            <w:tcW w:w="3200" w:type="dxa"/>
            <w:tcBorders>
              <w:top w:val="single" w:sz="4" w:space="0" w:color="D9D9D9"/>
              <w:left w:val="single" w:sz="4" w:space="0" w:color="D9D9D9"/>
              <w:bottom w:val="single" w:sz="4" w:space="0" w:color="D9D9D9"/>
              <w:right w:val="single" w:sz="4" w:space="0" w:color="D9D9D9"/>
            </w:tcBorders>
            <w:shd w:val="clear" w:color="auto" w:fill="F5F5F5"/>
            <w:tcMar>
              <w:top w:w="80" w:type="dxa"/>
              <w:left w:w="120" w:type="dxa"/>
              <w:bottom w:w="80" w:type="dxa"/>
              <w:right w:w="120" w:type="dxa"/>
            </w:tcMar>
          </w:tcPr>
          <w:p w14:paraId="51111617" w14:textId="77777777" w:rsidR="004B7931" w:rsidRDefault="00000000">
            <w:r>
              <w:rPr>
                <w:b/>
                <w:bCs/>
                <w:sz w:val="19"/>
                <w:szCs w:val="19"/>
              </w:rPr>
              <w:t>Card Issuance Fee:</w:t>
            </w:r>
          </w:p>
        </w:tc>
        <w:tc>
          <w:tcPr>
            <w:tcW w:w="6160"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tcPr>
          <w:p w14:paraId="178949D3" w14:textId="77777777" w:rsidR="004B7931" w:rsidRDefault="00000000">
            <w:r>
              <w:rPr>
                <w:i/>
                <w:iCs/>
                <w:color w:val="AAAAAA"/>
                <w:sz w:val="19"/>
                <w:szCs w:val="19"/>
              </w:rPr>
              <w:t>Per card</w:t>
            </w:r>
          </w:p>
        </w:tc>
      </w:tr>
      <w:tr w:rsidR="004B7931" w14:paraId="025FCAAD" w14:textId="77777777">
        <w:tc>
          <w:tcPr>
            <w:tcW w:w="3200" w:type="dxa"/>
            <w:tcBorders>
              <w:top w:val="single" w:sz="4" w:space="0" w:color="D9D9D9"/>
              <w:left w:val="single" w:sz="4" w:space="0" w:color="D9D9D9"/>
              <w:bottom w:val="single" w:sz="4" w:space="0" w:color="D9D9D9"/>
              <w:right w:val="single" w:sz="4" w:space="0" w:color="D9D9D9"/>
            </w:tcBorders>
            <w:shd w:val="clear" w:color="auto" w:fill="F5F5F5"/>
            <w:tcMar>
              <w:top w:w="80" w:type="dxa"/>
              <w:left w:w="120" w:type="dxa"/>
              <w:bottom w:w="80" w:type="dxa"/>
              <w:right w:w="120" w:type="dxa"/>
            </w:tcMar>
          </w:tcPr>
          <w:p w14:paraId="5A54A6AD" w14:textId="77777777" w:rsidR="004B7931" w:rsidRDefault="00000000">
            <w:r>
              <w:rPr>
                <w:b/>
                <w:bCs/>
                <w:sz w:val="19"/>
                <w:szCs w:val="19"/>
              </w:rPr>
              <w:t>Beneficiary Withdrawal Fee:</w:t>
            </w:r>
          </w:p>
        </w:tc>
        <w:tc>
          <w:tcPr>
            <w:tcW w:w="6160"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tcPr>
          <w:p w14:paraId="7C8B2D8F" w14:textId="77777777" w:rsidR="004B7931" w:rsidRDefault="00000000">
            <w:r>
              <w:rPr>
                <w:i/>
                <w:iCs/>
                <w:color w:val="AAAAAA"/>
                <w:sz w:val="19"/>
                <w:szCs w:val="19"/>
              </w:rPr>
              <w:t>If any – specify clearly</w:t>
            </w:r>
          </w:p>
        </w:tc>
      </w:tr>
      <w:tr w:rsidR="004B7931" w14:paraId="49CA67E5" w14:textId="77777777">
        <w:tc>
          <w:tcPr>
            <w:tcW w:w="3200" w:type="dxa"/>
            <w:tcBorders>
              <w:top w:val="single" w:sz="4" w:space="0" w:color="D9D9D9"/>
              <w:left w:val="single" w:sz="4" w:space="0" w:color="D9D9D9"/>
              <w:bottom w:val="single" w:sz="4" w:space="0" w:color="D9D9D9"/>
              <w:right w:val="single" w:sz="4" w:space="0" w:color="D9D9D9"/>
            </w:tcBorders>
            <w:shd w:val="clear" w:color="auto" w:fill="F5F5F5"/>
            <w:tcMar>
              <w:top w:w="80" w:type="dxa"/>
              <w:left w:w="120" w:type="dxa"/>
              <w:bottom w:w="80" w:type="dxa"/>
              <w:right w:w="120" w:type="dxa"/>
            </w:tcMar>
          </w:tcPr>
          <w:p w14:paraId="2FEF0EC3" w14:textId="77777777" w:rsidR="004B7931" w:rsidRDefault="00000000">
            <w:r>
              <w:rPr>
                <w:b/>
                <w:bCs/>
                <w:sz w:val="19"/>
                <w:szCs w:val="19"/>
              </w:rPr>
              <w:t>Currency Conversion Spread (if applicable):</w:t>
            </w:r>
          </w:p>
        </w:tc>
        <w:tc>
          <w:tcPr>
            <w:tcW w:w="6160"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tcPr>
          <w:p w14:paraId="0116265D" w14:textId="77777777" w:rsidR="004B7931" w:rsidRDefault="00000000">
            <w:r>
              <w:rPr>
                <w:i/>
                <w:iCs/>
                <w:color w:val="AAAAAA"/>
                <w:sz w:val="19"/>
                <w:szCs w:val="19"/>
              </w:rPr>
              <w:t>% over reference rate</w:t>
            </w:r>
          </w:p>
        </w:tc>
      </w:tr>
    </w:tbl>
    <w:p w14:paraId="7500992D" w14:textId="77777777" w:rsidR="004B7931" w:rsidRDefault="004B7931">
      <w:pPr>
        <w:spacing w:before="12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B7931" w14:paraId="534B6CDA" w14:textId="77777777" w:rsidTr="007F3EB6">
        <w:tc>
          <w:tcPr>
            <w:tcW w:w="9360" w:type="dxa"/>
            <w:tcBorders>
              <w:top w:val="none" w:sz="0" w:space="0" w:color="FFFFFF"/>
              <w:left w:val="none" w:sz="0" w:space="0" w:color="FFFFFF"/>
              <w:bottom w:val="none" w:sz="0" w:space="0" w:color="FFFFFF"/>
              <w:right w:val="none" w:sz="0" w:space="0" w:color="FFFFFF"/>
            </w:tcBorders>
            <w:shd w:val="clear" w:color="auto" w:fill="007B62"/>
            <w:tcMar>
              <w:top w:w="100" w:type="dxa"/>
              <w:left w:w="200" w:type="dxa"/>
              <w:bottom w:w="100" w:type="dxa"/>
              <w:right w:w="200" w:type="dxa"/>
            </w:tcMar>
          </w:tcPr>
          <w:p w14:paraId="3301489D" w14:textId="77777777" w:rsidR="004B7931" w:rsidRDefault="00000000">
            <w:r>
              <w:rPr>
                <w:b/>
                <w:bCs/>
                <w:color w:val="FFFFFF"/>
                <w:sz w:val="22"/>
                <w:szCs w:val="22"/>
              </w:rPr>
              <w:t>Part 4: Declaration</w:t>
            </w:r>
          </w:p>
        </w:tc>
      </w:tr>
    </w:tbl>
    <w:p w14:paraId="0F9BBB6B" w14:textId="77777777" w:rsidR="004B7931" w:rsidRDefault="004B7931">
      <w:pPr>
        <w:spacing w:before="60" w:after="40"/>
      </w:pPr>
    </w:p>
    <w:p w14:paraId="6471B1A4" w14:textId="77777777" w:rsidR="004B7931" w:rsidRDefault="00000000">
      <w:pPr>
        <w:spacing w:before="80" w:after="80"/>
      </w:pPr>
      <w:r>
        <w:t>I, the undersigned, confirm that the information provided in this Expression of Interest is accurate and complete to the best of my knowledge. I confirm that [FSP Name] meets all mandatory eligibility criteria listed in Section 2 of this EOI and that all supporting documents submitted are authentic.</w:t>
      </w:r>
    </w:p>
    <w:p w14:paraId="78B8BC23" w14:textId="77777777" w:rsidR="004B7931" w:rsidRDefault="004B7931">
      <w:pPr>
        <w:spacing w:before="8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4B7931" w14:paraId="2D7D7131" w14:textId="77777777">
        <w:tc>
          <w:tcPr>
            <w:tcW w:w="4680" w:type="dxa"/>
            <w:tcBorders>
              <w:top w:val="none" w:sz="0" w:space="0" w:color="FFFFFF"/>
              <w:left w:val="none" w:sz="0" w:space="0" w:color="FFFFFF"/>
              <w:bottom w:val="none" w:sz="0" w:space="0" w:color="FFFFFF"/>
              <w:right w:val="none" w:sz="0" w:space="0" w:color="FFFFFF"/>
            </w:tcBorders>
            <w:tcMar>
              <w:top w:w="60" w:type="dxa"/>
              <w:left w:w="0" w:type="dxa"/>
              <w:bottom w:w="60" w:type="dxa"/>
              <w:right w:w="200" w:type="dxa"/>
            </w:tcMar>
          </w:tcPr>
          <w:p w14:paraId="62168991" w14:textId="77777777" w:rsidR="004B7931" w:rsidRDefault="00000000">
            <w:pPr>
              <w:pBdr>
                <w:bottom w:val="single" w:sz="4" w:space="1" w:color="D9D9D9"/>
              </w:pBdr>
            </w:pPr>
            <w:r>
              <w:rPr>
                <w:sz w:val="32"/>
                <w:szCs w:val="32"/>
              </w:rPr>
              <w:lastRenderedPageBreak/>
              <w:t xml:space="preserve"> </w:t>
            </w:r>
          </w:p>
          <w:p w14:paraId="15A86D73" w14:textId="77777777" w:rsidR="004B7931" w:rsidRDefault="00000000">
            <w:r>
              <w:rPr>
                <w:color w:val="888888"/>
                <w:sz w:val="17"/>
                <w:szCs w:val="17"/>
              </w:rPr>
              <w:t>Authorised Signatory (Name &amp; Title)</w:t>
            </w:r>
          </w:p>
        </w:tc>
        <w:tc>
          <w:tcPr>
            <w:tcW w:w="4680" w:type="dxa"/>
            <w:tcBorders>
              <w:top w:val="none" w:sz="0" w:space="0" w:color="FFFFFF"/>
              <w:left w:val="none" w:sz="0" w:space="0" w:color="FFFFFF"/>
              <w:bottom w:val="none" w:sz="0" w:space="0" w:color="FFFFFF"/>
              <w:right w:val="none" w:sz="0" w:space="0" w:color="FFFFFF"/>
            </w:tcBorders>
            <w:tcMar>
              <w:top w:w="60" w:type="dxa"/>
              <w:left w:w="200" w:type="dxa"/>
              <w:bottom w:w="60" w:type="dxa"/>
              <w:right w:w="0" w:type="dxa"/>
            </w:tcMar>
          </w:tcPr>
          <w:p w14:paraId="797B8C39" w14:textId="77777777" w:rsidR="004B7931" w:rsidRDefault="00000000">
            <w:pPr>
              <w:pBdr>
                <w:bottom w:val="single" w:sz="4" w:space="1" w:color="D9D9D9"/>
              </w:pBdr>
            </w:pPr>
            <w:r>
              <w:rPr>
                <w:sz w:val="32"/>
                <w:szCs w:val="32"/>
              </w:rPr>
              <w:t xml:space="preserve"> </w:t>
            </w:r>
          </w:p>
          <w:p w14:paraId="13BF506F" w14:textId="77777777" w:rsidR="004B7931" w:rsidRDefault="00000000">
            <w:r>
              <w:rPr>
                <w:color w:val="888888"/>
                <w:sz w:val="17"/>
                <w:szCs w:val="17"/>
              </w:rPr>
              <w:t>Date</w:t>
            </w:r>
          </w:p>
        </w:tc>
      </w:tr>
    </w:tbl>
    <w:p w14:paraId="406C277D" w14:textId="77777777" w:rsidR="004B7931" w:rsidRDefault="004B7931">
      <w:pPr>
        <w:spacing w:before="60" w:after="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4B7931" w14:paraId="539BA0BE" w14:textId="77777777">
        <w:tc>
          <w:tcPr>
            <w:tcW w:w="4680" w:type="dxa"/>
            <w:tcBorders>
              <w:top w:val="none" w:sz="0" w:space="0" w:color="FFFFFF"/>
              <w:left w:val="none" w:sz="0" w:space="0" w:color="FFFFFF"/>
              <w:bottom w:val="none" w:sz="0" w:space="0" w:color="FFFFFF"/>
              <w:right w:val="none" w:sz="0" w:space="0" w:color="FFFFFF"/>
            </w:tcBorders>
            <w:tcMar>
              <w:top w:w="60" w:type="dxa"/>
              <w:left w:w="0" w:type="dxa"/>
              <w:bottom w:w="60" w:type="dxa"/>
              <w:right w:w="200" w:type="dxa"/>
            </w:tcMar>
          </w:tcPr>
          <w:p w14:paraId="1033B337" w14:textId="77777777" w:rsidR="004B7931" w:rsidRDefault="00000000">
            <w:pPr>
              <w:pBdr>
                <w:bottom w:val="single" w:sz="4" w:space="1" w:color="D9D9D9"/>
              </w:pBdr>
            </w:pPr>
            <w:r>
              <w:rPr>
                <w:sz w:val="32"/>
                <w:szCs w:val="32"/>
              </w:rPr>
              <w:t xml:space="preserve"> </w:t>
            </w:r>
          </w:p>
          <w:p w14:paraId="2A6EFF6D" w14:textId="77777777" w:rsidR="004B7931" w:rsidRDefault="00000000">
            <w:r>
              <w:rPr>
                <w:color w:val="888888"/>
                <w:sz w:val="17"/>
                <w:szCs w:val="17"/>
              </w:rPr>
              <w:t>Signature</w:t>
            </w:r>
          </w:p>
        </w:tc>
        <w:tc>
          <w:tcPr>
            <w:tcW w:w="4680" w:type="dxa"/>
            <w:tcBorders>
              <w:top w:val="none" w:sz="0" w:space="0" w:color="FFFFFF"/>
              <w:left w:val="none" w:sz="0" w:space="0" w:color="FFFFFF"/>
              <w:bottom w:val="none" w:sz="0" w:space="0" w:color="FFFFFF"/>
              <w:right w:val="none" w:sz="0" w:space="0" w:color="FFFFFF"/>
            </w:tcBorders>
            <w:tcMar>
              <w:top w:w="60" w:type="dxa"/>
              <w:left w:w="200" w:type="dxa"/>
              <w:bottom w:w="60" w:type="dxa"/>
              <w:right w:w="0" w:type="dxa"/>
            </w:tcMar>
          </w:tcPr>
          <w:p w14:paraId="7F49C625" w14:textId="77777777" w:rsidR="004B7931" w:rsidRDefault="00000000">
            <w:pPr>
              <w:pBdr>
                <w:bottom w:val="single" w:sz="4" w:space="1" w:color="D9D9D9"/>
              </w:pBdr>
            </w:pPr>
            <w:r>
              <w:rPr>
                <w:sz w:val="32"/>
                <w:szCs w:val="32"/>
              </w:rPr>
              <w:t xml:space="preserve"> </w:t>
            </w:r>
          </w:p>
          <w:p w14:paraId="4C437991" w14:textId="77777777" w:rsidR="004B7931" w:rsidRDefault="00000000">
            <w:r>
              <w:rPr>
                <w:color w:val="888888"/>
                <w:sz w:val="17"/>
                <w:szCs w:val="17"/>
              </w:rPr>
              <w:t>Official Stamp (if applicable)</w:t>
            </w:r>
          </w:p>
        </w:tc>
      </w:tr>
    </w:tbl>
    <w:p w14:paraId="14727689" w14:textId="77777777" w:rsidR="004B7931" w:rsidRDefault="004B7931">
      <w:pPr>
        <w:spacing w:before="80" w:after="60"/>
      </w:pPr>
    </w:p>
    <w:p w14:paraId="063A33A0" w14:textId="77777777" w:rsidR="004B7931" w:rsidRDefault="00000000">
      <w:pPr>
        <w:jc w:val="center"/>
      </w:pPr>
      <w:r>
        <w:rPr>
          <w:i/>
          <w:iCs/>
          <w:color w:val="888888"/>
          <w:sz w:val="17"/>
          <w:szCs w:val="17"/>
        </w:rPr>
        <w:t xml:space="preserve">END OF EOI </w:t>
      </w:r>
      <w:proofErr w:type="gramStart"/>
      <w:r>
        <w:rPr>
          <w:i/>
          <w:iCs/>
          <w:color w:val="888888"/>
          <w:sz w:val="17"/>
          <w:szCs w:val="17"/>
        </w:rPr>
        <w:t>DOCUMENT  |</w:t>
      </w:r>
      <w:proofErr w:type="gramEnd"/>
      <w:r>
        <w:rPr>
          <w:i/>
          <w:iCs/>
          <w:color w:val="888888"/>
          <w:sz w:val="17"/>
          <w:szCs w:val="17"/>
        </w:rPr>
        <w:t xml:space="preserve">  ADRA-SDN/CBI/EOI/2025/</w:t>
      </w:r>
      <w:proofErr w:type="gramStart"/>
      <w:r>
        <w:rPr>
          <w:i/>
          <w:iCs/>
          <w:color w:val="888888"/>
          <w:sz w:val="17"/>
          <w:szCs w:val="17"/>
        </w:rPr>
        <w:t>001  |</w:t>
      </w:r>
      <w:proofErr w:type="gramEnd"/>
      <w:r>
        <w:rPr>
          <w:i/>
          <w:iCs/>
          <w:color w:val="888888"/>
          <w:sz w:val="17"/>
          <w:szCs w:val="17"/>
        </w:rPr>
        <w:t xml:space="preserve">  procurement@adra-sudan.org</w:t>
      </w:r>
    </w:p>
    <w:sectPr w:rsidR="004B7931">
      <w:headerReference w:type="default" r:id="rId9"/>
      <w:footerReference w:type="default" r:id="rId10"/>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2D69B" w14:textId="77777777" w:rsidR="008E06DF" w:rsidRDefault="008E06DF">
      <w:r>
        <w:separator/>
      </w:r>
    </w:p>
  </w:endnote>
  <w:endnote w:type="continuationSeparator" w:id="0">
    <w:p w14:paraId="38F0759C" w14:textId="77777777" w:rsidR="008E06DF" w:rsidRDefault="008E0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7AFF" w:usb1="C0007843" w:usb2="00000009" w:usb3="00000000" w:csb0="000001FF" w:csb1="00000000"/>
  </w:font>
  <w:font w:name="Times New Roman">
    <w:panose1 w:val="02020603050405020304"/>
    <w:charset w:val="00"/>
    <w:family w:val="roman"/>
    <w:pitch w:val="variable"/>
    <w:sig w:usb0="E0007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7A88A" w14:textId="1C23A795" w:rsidR="004B7931" w:rsidRDefault="00000000">
    <w:pPr>
      <w:pBdr>
        <w:top w:val="single" w:sz="6" w:space="1" w:color="D9D9D9"/>
      </w:pBdr>
      <w:spacing w:before="80"/>
    </w:pPr>
    <w:r>
      <w:rPr>
        <w:color w:val="888888"/>
        <w:sz w:val="17"/>
        <w:szCs w:val="17"/>
      </w:rPr>
      <w:t>ADRA Sudan – EOI for Financial Service Providers –</w:t>
    </w:r>
    <w:r w:rsidR="00311DC5">
      <w:rPr>
        <w:color w:val="888888"/>
        <w:sz w:val="17"/>
        <w:szCs w:val="17"/>
      </w:rPr>
      <w:t xml:space="preserve"> </w:t>
    </w:r>
    <w:r>
      <w:rPr>
        <w:color w:val="888888"/>
        <w:sz w:val="17"/>
        <w:szCs w:val="17"/>
      </w:rPr>
      <w:t xml:space="preserve">Page </w:t>
    </w:r>
    <w:r>
      <w:rPr>
        <w:color w:val="888888"/>
        <w:sz w:val="17"/>
        <w:szCs w:val="17"/>
      </w:rPr>
      <w:fldChar w:fldCharType="begin"/>
    </w:r>
    <w:r>
      <w:rPr>
        <w:color w:val="888888"/>
        <w:sz w:val="17"/>
        <w:szCs w:val="17"/>
      </w:rPr>
      <w:instrText>PAGE</w:instrText>
    </w:r>
    <w:r>
      <w:rPr>
        <w:color w:val="888888"/>
        <w:sz w:val="17"/>
        <w:szCs w:val="17"/>
      </w:rPr>
      <w:fldChar w:fldCharType="separate"/>
    </w:r>
    <w:r w:rsidR="0080457E">
      <w:rPr>
        <w:noProof/>
        <w:color w:val="888888"/>
        <w:sz w:val="17"/>
        <w:szCs w:val="17"/>
      </w:rPr>
      <w:t>1</w:t>
    </w:r>
    <w:r>
      <w:rPr>
        <w:color w:val="888888"/>
        <w:sz w:val="17"/>
        <w:szCs w:val="17"/>
      </w:rPr>
      <w:fldChar w:fldCharType="end"/>
    </w:r>
    <w:r>
      <w:rPr>
        <w:color w:val="888888"/>
        <w:sz w:val="17"/>
        <w:szCs w:val="17"/>
      </w:rPr>
      <w:t xml:space="preserve"> of </w:t>
    </w:r>
    <w:r>
      <w:rPr>
        <w:color w:val="888888"/>
        <w:sz w:val="17"/>
        <w:szCs w:val="17"/>
      </w:rPr>
      <w:fldChar w:fldCharType="begin"/>
    </w:r>
    <w:r>
      <w:rPr>
        <w:color w:val="888888"/>
        <w:sz w:val="17"/>
        <w:szCs w:val="17"/>
      </w:rPr>
      <w:instrText>NUMPAGES</w:instrText>
    </w:r>
    <w:r>
      <w:rPr>
        <w:color w:val="888888"/>
        <w:sz w:val="17"/>
        <w:szCs w:val="17"/>
      </w:rPr>
      <w:fldChar w:fldCharType="separate"/>
    </w:r>
    <w:r w:rsidR="0080457E">
      <w:rPr>
        <w:noProof/>
        <w:color w:val="888888"/>
        <w:sz w:val="17"/>
        <w:szCs w:val="17"/>
      </w:rPr>
      <w:t>2</w:t>
    </w:r>
    <w:r>
      <w:rPr>
        <w:color w:val="888888"/>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68613" w14:textId="77777777" w:rsidR="008E06DF" w:rsidRDefault="008E06DF">
      <w:r>
        <w:separator/>
      </w:r>
    </w:p>
  </w:footnote>
  <w:footnote w:type="continuationSeparator" w:id="0">
    <w:p w14:paraId="1A7DA60B" w14:textId="77777777" w:rsidR="008E06DF" w:rsidRDefault="008E0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00"/>
      <w:gridCol w:w="3080"/>
    </w:tblGrid>
    <w:tr w:rsidR="004B7931" w14:paraId="4FA05B6E" w14:textId="77777777">
      <w:tc>
        <w:tcPr>
          <w:tcW w:w="7000" w:type="dxa"/>
          <w:tcBorders>
            <w:top w:val="none" w:sz="0" w:space="0" w:color="FFFFFF"/>
            <w:left w:val="none" w:sz="0" w:space="0" w:color="FFFFFF"/>
            <w:bottom w:val="none" w:sz="0" w:space="0" w:color="FFFFFF"/>
            <w:right w:val="none" w:sz="0" w:space="0" w:color="FFFFFF"/>
          </w:tcBorders>
          <w:tcMar>
            <w:top w:w="40" w:type="dxa"/>
            <w:left w:w="0" w:type="dxa"/>
            <w:bottom w:w="40" w:type="dxa"/>
            <w:right w:w="100" w:type="dxa"/>
          </w:tcMar>
          <w:vAlign w:val="center"/>
        </w:tcPr>
        <w:p w14:paraId="17534442" w14:textId="77777777" w:rsidR="004B7931" w:rsidRPr="00311DC5" w:rsidRDefault="00000000">
          <w:pPr>
            <w:rPr>
              <w:color w:val="007B62"/>
            </w:rPr>
          </w:pPr>
          <w:r w:rsidRPr="00311DC5">
            <w:rPr>
              <w:b/>
              <w:bCs/>
              <w:color w:val="007B62"/>
              <w:sz w:val="30"/>
              <w:szCs w:val="30"/>
            </w:rPr>
            <w:t>ADRA SUDAN</w:t>
          </w:r>
        </w:p>
        <w:p w14:paraId="706E6586" w14:textId="77777777" w:rsidR="004B7931" w:rsidRDefault="00000000">
          <w:r>
            <w:rPr>
              <w:color w:val="666666"/>
              <w:sz w:val="17"/>
              <w:szCs w:val="17"/>
            </w:rPr>
            <w:t>Call for Expression of Interest – Financial Service Providers</w:t>
          </w:r>
        </w:p>
      </w:tc>
      <w:tc>
        <w:tcPr>
          <w:tcW w:w="3080" w:type="dxa"/>
          <w:tcBorders>
            <w:top w:val="none" w:sz="0" w:space="0" w:color="FFFFFF"/>
            <w:left w:val="none" w:sz="0" w:space="0" w:color="FFFFFF"/>
            <w:bottom w:val="none" w:sz="0" w:space="0" w:color="FFFFFF"/>
            <w:right w:val="none" w:sz="0" w:space="0" w:color="FFFFFF"/>
          </w:tcBorders>
          <w:tcMar>
            <w:top w:w="40" w:type="dxa"/>
            <w:left w:w="100" w:type="dxa"/>
            <w:bottom w:w="40" w:type="dxa"/>
            <w:right w:w="0" w:type="dxa"/>
          </w:tcMar>
          <w:vAlign w:val="center"/>
        </w:tcPr>
        <w:p w14:paraId="5639C5CE" w14:textId="10C142AF" w:rsidR="004B7931" w:rsidRDefault="00000000">
          <w:pPr>
            <w:jc w:val="right"/>
          </w:pPr>
          <w:r>
            <w:rPr>
              <w:color w:val="888888"/>
              <w:sz w:val="17"/>
              <w:szCs w:val="17"/>
            </w:rPr>
            <w:t>ADRA-SDN/CBI/EOI/202</w:t>
          </w:r>
          <w:r w:rsidR="007F3EB6">
            <w:rPr>
              <w:color w:val="888888"/>
              <w:sz w:val="17"/>
              <w:szCs w:val="17"/>
            </w:rPr>
            <w:t>6</w:t>
          </w:r>
          <w:r>
            <w:rPr>
              <w:color w:val="888888"/>
              <w:sz w:val="17"/>
              <w:szCs w:val="17"/>
            </w:rPr>
            <w:t>/001</w:t>
          </w:r>
        </w:p>
        <w:p w14:paraId="016660E8" w14:textId="78401C4C" w:rsidR="004B7931" w:rsidRDefault="004B7931">
          <w:pPr>
            <w:jc w:val="right"/>
          </w:pPr>
        </w:p>
      </w:tc>
    </w:tr>
  </w:tbl>
  <w:p w14:paraId="55E058D0" w14:textId="77777777" w:rsidR="004B7931" w:rsidRDefault="004B7931">
    <w:pPr>
      <w:pBdr>
        <w:bottom w:val="single" w:sz="10" w:space="1" w:color="C0282F"/>
      </w:pBdr>
      <w:spacing w:before="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C51E0C"/>
    <w:multiLevelType w:val="hybridMultilevel"/>
    <w:tmpl w:val="B7C482F8"/>
    <w:lvl w:ilvl="0" w:tplc="F7D6851C">
      <w:start w:val="1"/>
      <w:numFmt w:val="bullet"/>
      <w:lvlText w:val="●"/>
      <w:lvlJc w:val="left"/>
      <w:pPr>
        <w:ind w:left="720" w:hanging="360"/>
      </w:pPr>
    </w:lvl>
    <w:lvl w:ilvl="1" w:tplc="EB54A794">
      <w:start w:val="1"/>
      <w:numFmt w:val="bullet"/>
      <w:lvlText w:val="○"/>
      <w:lvlJc w:val="left"/>
      <w:pPr>
        <w:ind w:left="1440" w:hanging="360"/>
      </w:pPr>
    </w:lvl>
    <w:lvl w:ilvl="2" w:tplc="51C8DE1A">
      <w:start w:val="1"/>
      <w:numFmt w:val="bullet"/>
      <w:lvlText w:val="■"/>
      <w:lvlJc w:val="left"/>
      <w:pPr>
        <w:ind w:left="2160" w:hanging="360"/>
      </w:pPr>
    </w:lvl>
    <w:lvl w:ilvl="3" w:tplc="1F2E6F66">
      <w:start w:val="1"/>
      <w:numFmt w:val="bullet"/>
      <w:lvlText w:val="●"/>
      <w:lvlJc w:val="left"/>
      <w:pPr>
        <w:ind w:left="2880" w:hanging="360"/>
      </w:pPr>
    </w:lvl>
    <w:lvl w:ilvl="4" w:tplc="2B6C488E">
      <w:start w:val="1"/>
      <w:numFmt w:val="bullet"/>
      <w:lvlText w:val="○"/>
      <w:lvlJc w:val="left"/>
      <w:pPr>
        <w:ind w:left="3600" w:hanging="360"/>
      </w:pPr>
    </w:lvl>
    <w:lvl w:ilvl="5" w:tplc="F0EAFF9C">
      <w:start w:val="1"/>
      <w:numFmt w:val="bullet"/>
      <w:lvlText w:val="■"/>
      <w:lvlJc w:val="left"/>
      <w:pPr>
        <w:ind w:left="4320" w:hanging="360"/>
      </w:pPr>
    </w:lvl>
    <w:lvl w:ilvl="6" w:tplc="C47E911A">
      <w:start w:val="1"/>
      <w:numFmt w:val="bullet"/>
      <w:lvlText w:val="●"/>
      <w:lvlJc w:val="left"/>
      <w:pPr>
        <w:ind w:left="5040" w:hanging="360"/>
      </w:pPr>
    </w:lvl>
    <w:lvl w:ilvl="7" w:tplc="049E6826">
      <w:start w:val="1"/>
      <w:numFmt w:val="bullet"/>
      <w:lvlText w:val="●"/>
      <w:lvlJc w:val="left"/>
      <w:pPr>
        <w:ind w:left="5760" w:hanging="360"/>
      </w:pPr>
    </w:lvl>
    <w:lvl w:ilvl="8" w:tplc="E47AA598">
      <w:start w:val="1"/>
      <w:numFmt w:val="bullet"/>
      <w:lvlText w:val="●"/>
      <w:lvlJc w:val="left"/>
      <w:pPr>
        <w:ind w:left="6480" w:hanging="360"/>
      </w:pPr>
    </w:lvl>
  </w:abstractNum>
  <w:abstractNum w:abstractNumId="1" w15:restartNumberingAfterBreak="0">
    <w:nsid w:val="6F432955"/>
    <w:multiLevelType w:val="hybridMultilevel"/>
    <w:tmpl w:val="93186996"/>
    <w:lvl w:ilvl="0" w:tplc="34389E38">
      <w:start w:val="1"/>
      <w:numFmt w:val="decimal"/>
      <w:lvlText w:val="%1."/>
      <w:lvlJc w:val="left"/>
      <w:pPr>
        <w:ind w:left="720" w:hanging="360"/>
      </w:pPr>
    </w:lvl>
    <w:lvl w:ilvl="1" w:tplc="581CB7F0">
      <w:numFmt w:val="decimal"/>
      <w:lvlText w:val=""/>
      <w:lvlJc w:val="left"/>
    </w:lvl>
    <w:lvl w:ilvl="2" w:tplc="1B282ACA">
      <w:numFmt w:val="decimal"/>
      <w:lvlText w:val=""/>
      <w:lvlJc w:val="left"/>
    </w:lvl>
    <w:lvl w:ilvl="3" w:tplc="DDEA1BB6">
      <w:numFmt w:val="decimal"/>
      <w:lvlText w:val=""/>
      <w:lvlJc w:val="left"/>
    </w:lvl>
    <w:lvl w:ilvl="4" w:tplc="7A768C7C">
      <w:numFmt w:val="decimal"/>
      <w:lvlText w:val=""/>
      <w:lvlJc w:val="left"/>
    </w:lvl>
    <w:lvl w:ilvl="5" w:tplc="FB2E9E68">
      <w:numFmt w:val="decimal"/>
      <w:lvlText w:val=""/>
      <w:lvlJc w:val="left"/>
    </w:lvl>
    <w:lvl w:ilvl="6" w:tplc="8A6CF42C">
      <w:numFmt w:val="decimal"/>
      <w:lvlText w:val=""/>
      <w:lvlJc w:val="left"/>
    </w:lvl>
    <w:lvl w:ilvl="7" w:tplc="E20CAC90">
      <w:numFmt w:val="decimal"/>
      <w:lvlText w:val=""/>
      <w:lvlJc w:val="left"/>
    </w:lvl>
    <w:lvl w:ilvl="8" w:tplc="8A1E3F10">
      <w:numFmt w:val="decimal"/>
      <w:lvlText w:val=""/>
      <w:lvlJc w:val="left"/>
    </w:lvl>
  </w:abstractNum>
  <w:num w:numId="1" w16cid:durableId="17419645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931"/>
    <w:rsid w:val="000A1061"/>
    <w:rsid w:val="00202C3B"/>
    <w:rsid w:val="002860CB"/>
    <w:rsid w:val="00311DC5"/>
    <w:rsid w:val="004A1854"/>
    <w:rsid w:val="004B7931"/>
    <w:rsid w:val="007F3EB6"/>
    <w:rsid w:val="0080457E"/>
    <w:rsid w:val="008E06DF"/>
    <w:rsid w:val="009E1160"/>
    <w:rsid w:val="00F95E7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4:docId w14:val="734A543C"/>
  <w15:docId w15:val="{54DC3003-B983-2D42-8FE0-949CC4688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1A1A1A"/>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311DC5"/>
    <w:pPr>
      <w:tabs>
        <w:tab w:val="center" w:pos="4513"/>
        <w:tab w:val="right" w:pos="9026"/>
      </w:tabs>
    </w:pPr>
  </w:style>
  <w:style w:type="character" w:customStyle="1" w:styleId="HeaderChar">
    <w:name w:val="Header Char"/>
    <w:basedOn w:val="DefaultParagraphFont"/>
    <w:link w:val="Header"/>
    <w:uiPriority w:val="99"/>
    <w:rsid w:val="00311DC5"/>
  </w:style>
  <w:style w:type="paragraph" w:styleId="Footer">
    <w:name w:val="footer"/>
    <w:basedOn w:val="Normal"/>
    <w:link w:val="FooterChar"/>
    <w:uiPriority w:val="99"/>
    <w:unhideWhenUsed/>
    <w:rsid w:val="00311DC5"/>
    <w:pPr>
      <w:tabs>
        <w:tab w:val="center" w:pos="4513"/>
        <w:tab w:val="right" w:pos="9026"/>
      </w:tabs>
    </w:pPr>
  </w:style>
  <w:style w:type="character" w:customStyle="1" w:styleId="FooterChar">
    <w:name w:val="Footer Char"/>
    <w:basedOn w:val="DefaultParagraphFont"/>
    <w:link w:val="Footer"/>
    <w:uiPriority w:val="99"/>
    <w:rsid w:val="00311DC5"/>
  </w:style>
  <w:style w:type="character" w:styleId="UnresolvedMention">
    <w:name w:val="Unresolved Mention"/>
    <w:basedOn w:val="DefaultParagraphFont"/>
    <w:uiPriority w:val="99"/>
    <w:semiHidden/>
    <w:unhideWhenUsed/>
    <w:rsid w:val="007F3E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nfo@adrasudan.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2278</Words>
  <Characters>14240</Characters>
  <Application>Microsoft Office Word</Application>
  <DocSecurity>0</DocSecurity>
  <Lines>491</Lines>
  <Paragraphs>300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Maysa Al-Aqil</cp:lastModifiedBy>
  <cp:revision>3</cp:revision>
  <dcterms:created xsi:type="dcterms:W3CDTF">2026-05-10T12:42:00Z</dcterms:created>
  <dcterms:modified xsi:type="dcterms:W3CDTF">2026-05-10T12:44:00Z</dcterms:modified>
</cp:coreProperties>
</file>